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263456" w14:paraId="131B86C3" w14:textId="77777777" w:rsidTr="00C848FF">
        <w:trPr>
          <w:trHeight w:val="652"/>
          <w:jc w:val="center"/>
        </w:trPr>
        <w:tc>
          <w:tcPr>
            <w:tcW w:w="3335" w:type="dxa"/>
            <w:tcBorders>
              <w:right w:val="single" w:sz="4" w:space="0" w:color="44546A" w:themeColor="text2"/>
            </w:tcBorders>
            <w:shd w:val="clear" w:color="auto" w:fill="1F3864" w:themeFill="accent1" w:themeFillShade="80"/>
          </w:tcPr>
          <w:p w14:paraId="2D6DC80C"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18085A78" w14:textId="2911A185" w:rsidR="00263456" w:rsidRPr="00906B87" w:rsidRDefault="00263456" w:rsidP="00263456">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A36CCA">
              <w:rPr>
                <w:rFonts w:cs="Arial"/>
                <w:color w:val="FFFFFF" w:themeColor="background1"/>
                <w:sz w:val="32"/>
                <w:szCs w:val="32"/>
                <w:shd w:val="clear" w:color="auto" w:fill="1F3864" w:themeFill="accent1" w:themeFillShade="80"/>
                <w:lang w:val="en-US"/>
              </w:rPr>
              <w:t>contribution</w:t>
            </w:r>
          </w:p>
          <w:p w14:paraId="53B8847D" w14:textId="6BC8F914"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163715" w14:textId="77777777" w:rsidR="00263456" w:rsidRDefault="00263456" w:rsidP="00263456">
            <w:pPr>
              <w:jc w:val="center"/>
              <w:rPr>
                <w:rFonts w:cs="Arial"/>
                <w:color w:val="FFFFFF" w:themeColor="background1"/>
                <w:sz w:val="32"/>
                <w:szCs w:val="32"/>
                <w:shd w:val="clear" w:color="auto" w:fill="1F3864" w:themeFill="accent1" w:themeFillShade="80"/>
                <w:lang w:val="en-US"/>
              </w:rPr>
            </w:pPr>
          </w:p>
          <w:p w14:paraId="6B26AC0C" w14:textId="2CA080AA" w:rsidR="00742FA8" w:rsidRDefault="00263456" w:rsidP="00263456">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2D61AB">
              <w:rPr>
                <w:rFonts w:cs="Arial"/>
                <w:color w:val="FFFFFF" w:themeColor="background1"/>
                <w:sz w:val="32"/>
                <w:szCs w:val="32"/>
                <w:shd w:val="clear" w:color="auto" w:fill="1F3864" w:themeFill="accent1" w:themeFillShade="80"/>
                <w:lang w:val="en-US"/>
              </w:rPr>
              <w:t>5</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BA0614" w14:paraId="425D15D4" w14:textId="77777777" w:rsidTr="00C848FF">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63456" w:rsidRDefault="005728A3" w:rsidP="005728A3">
            <w:pPr>
              <w:jc w:val="right"/>
              <w:rPr>
                <w:rFonts w:cstheme="minorHAnsi"/>
                <w:b/>
                <w:bCs/>
                <w:color w:val="002060"/>
                <w:sz w:val="28"/>
                <w:szCs w:val="28"/>
                <w:lang w:val="en-US"/>
              </w:rPr>
            </w:pPr>
            <w:r w:rsidRPr="00263456">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C848FF">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98B0C9E" w:rsidR="006D3771" w:rsidRPr="008B6B20" w:rsidRDefault="00A53917" w:rsidP="006D3771">
            <w:pPr>
              <w:jc w:val="center"/>
              <w:rPr>
                <w:sz w:val="32"/>
                <w:szCs w:val="32"/>
                <w:lang w:val="en-GB"/>
              </w:rPr>
            </w:pPr>
            <w:r>
              <w:rPr>
                <w:sz w:val="32"/>
                <w:szCs w:val="32"/>
                <w:lang w:val="en-GB"/>
              </w:rPr>
              <w:t>Croatia</w:t>
            </w:r>
          </w:p>
          <w:p w14:paraId="1EE0812F" w14:textId="73DF6167" w:rsidR="006D3771" w:rsidRDefault="006D3771">
            <w:pPr>
              <w:rPr>
                <w:lang w:val="en-US"/>
              </w:rPr>
            </w:pPr>
          </w:p>
        </w:tc>
      </w:tr>
    </w:tbl>
    <w:p w14:paraId="30D2EC4D" w14:textId="77777777" w:rsidR="001A0B36" w:rsidRDefault="001A0B36">
      <w:pPr>
        <w:rPr>
          <w:rFonts w:cs="Arial"/>
          <w:color w:val="FFFFFF" w:themeColor="background1"/>
          <w:sz w:val="22"/>
          <w:szCs w:val="22"/>
          <w:shd w:val="clear" w:color="auto" w:fill="1F3864" w:themeFill="accent1" w:themeFillShade="80"/>
          <w:lang w:val="en-GB"/>
        </w:rPr>
      </w:pPr>
    </w:p>
    <w:p w14:paraId="2ADAF512" w14:textId="77777777" w:rsidR="008B6B20" w:rsidRPr="00574B1E" w:rsidRDefault="008B6B20" w:rsidP="008B6B20">
      <w:pPr>
        <w:keepNext/>
        <w:spacing w:before="320"/>
        <w:outlineLvl w:val="0"/>
        <w:rPr>
          <w:rFonts w:ascii="Calibri Light" w:eastAsia="Times New Roman" w:hAnsi="Calibri Light" w:cs="Calibri Light"/>
          <w:color w:val="2F5496"/>
          <w:kern w:val="36"/>
          <w:sz w:val="32"/>
          <w:szCs w:val="32"/>
          <w:lang w:val="en-US"/>
        </w:rPr>
      </w:pPr>
      <w:r w:rsidRPr="00574B1E">
        <w:rPr>
          <w:rFonts w:ascii="Calibri Light" w:eastAsia="Times New Roman" w:hAnsi="Calibri Light" w:cs="Calibri Light"/>
          <w:color w:val="2F5496"/>
          <w:kern w:val="36"/>
          <w:sz w:val="32"/>
          <w:szCs w:val="32"/>
          <w:lang w:val="en-US"/>
        </w:rPr>
        <w:t xml:space="preserve">I Justice System </w:t>
      </w:r>
    </w:p>
    <w:p w14:paraId="2CF8867C" w14:textId="77777777" w:rsidR="008B6B20" w:rsidRPr="00574B1E" w:rsidRDefault="008B6B20" w:rsidP="008B6B20">
      <w:pPr>
        <w:autoSpaceDE w:val="0"/>
        <w:autoSpaceDN w:val="0"/>
        <w:rPr>
          <w:rFonts w:ascii="Calibri" w:hAnsi="Calibri" w:cs="Calibri"/>
          <w:lang w:val="en-US"/>
        </w:rPr>
      </w:pPr>
    </w:p>
    <w:p w14:paraId="554C1FCF" w14:textId="77777777" w:rsidR="008B6B20" w:rsidRPr="00574B1E" w:rsidRDefault="008B6B20" w:rsidP="008B6B20">
      <w:pPr>
        <w:autoSpaceDE w:val="0"/>
        <w:autoSpaceDN w:val="0"/>
        <w:jc w:val="both"/>
        <w:rPr>
          <w:rFonts w:ascii="Calibri" w:hAnsi="Calibri" w:cs="Calibri"/>
          <w:color w:val="000000"/>
          <w:lang w:val="en-US"/>
        </w:rPr>
      </w:pPr>
      <w:r w:rsidRPr="00574B1E">
        <w:rPr>
          <w:rFonts w:ascii="Calibri" w:hAnsi="Calibri" w:cs="Calibri"/>
          <w:color w:val="000000"/>
          <w:lang w:val="en-US"/>
        </w:rPr>
        <w:t xml:space="preserve">The European Commission for the Efficiency of Justice (CEPEJ) regularly collects data on judicial systems concerning efficiency and quality of the justice system. </w:t>
      </w:r>
    </w:p>
    <w:p w14:paraId="646D1D17"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574B1E">
        <w:rPr>
          <w:rFonts w:ascii="Calibri" w:hAnsi="Calibri" w:cs="Calibri"/>
          <w:color w:val="000000"/>
          <w:lang w:val="en-US"/>
        </w:rPr>
        <w:t xml:space="preserve">In 2024, 2022 data have been collected, quality checked and the CEPEJ </w:t>
      </w:r>
      <w:r w:rsidRPr="0003402A">
        <w:rPr>
          <w:rFonts w:ascii="Calibri" w:hAnsi="Calibri" w:cs="Calibri"/>
          <w:color w:val="000000"/>
          <w:lang w:val="en-US"/>
        </w:rPr>
        <w:t>European Judicial Systems Evaluation Report (</w:t>
      </w:r>
      <w:hyperlink r:id="rId9" w:history="1">
        <w:r w:rsidRPr="0003402A">
          <w:rPr>
            <w:rFonts w:ascii="Calibri" w:hAnsi="Calibri" w:cs="Calibri"/>
            <w:color w:val="0563C1"/>
            <w:u w:val="single"/>
            <w:lang w:val="en-US"/>
          </w:rPr>
          <w:t>General analyses</w:t>
        </w:r>
      </w:hyperlink>
      <w:r w:rsidRPr="0003402A">
        <w:rPr>
          <w:rFonts w:ascii="Calibri" w:hAnsi="Calibri" w:cs="Calibri"/>
          <w:color w:val="000000"/>
          <w:lang w:val="en-US"/>
        </w:rPr>
        <w:t xml:space="preserve"> and  </w:t>
      </w:r>
      <w:hyperlink r:id="rId10" w:history="1">
        <w:r w:rsidRPr="0003402A">
          <w:rPr>
            <w:rFonts w:ascii="Calibri" w:hAnsi="Calibri" w:cs="Calibri"/>
            <w:color w:val="0563C1"/>
            <w:u w:val="single"/>
            <w:lang w:val="en-US"/>
          </w:rPr>
          <w:t>CEPEJ-STAT database</w:t>
        </w:r>
      </w:hyperlink>
      <w:r w:rsidRPr="0003402A">
        <w:rPr>
          <w:rFonts w:ascii="Calibri" w:hAnsi="Calibri" w:cs="Calibri"/>
          <w:color w:val="000000"/>
          <w:lang w:val="en-US"/>
        </w:rPr>
        <w:t xml:space="preserve">) was </w:t>
      </w:r>
      <w:r w:rsidRPr="00574B1E">
        <w:rPr>
          <w:rFonts w:ascii="Calibri" w:hAnsi="Calibri" w:cs="Calibri"/>
          <w:color w:val="000000"/>
          <w:lang w:val="en-US"/>
        </w:rPr>
        <w:t xml:space="preserve">published. </w:t>
      </w:r>
      <w:r w:rsidRPr="0003402A">
        <w:rPr>
          <w:rFonts w:ascii="Calibri" w:hAnsi="Calibri" w:cs="Calibri"/>
          <w:color w:val="000000"/>
          <w:lang w:val="en-US"/>
        </w:rPr>
        <w:t xml:space="preserve">This report also includes </w:t>
      </w:r>
      <w:r w:rsidRPr="00574B1E">
        <w:rPr>
          <w:rFonts w:ascii="Calibri" w:hAnsi="Calibri" w:cs="Calibri"/>
          <w:color w:val="000000"/>
          <w:lang w:val="en-US"/>
        </w:rPr>
        <w:t xml:space="preserve">country profiles for each Council of Europe Member State, based on 2022 data. </w:t>
      </w:r>
    </w:p>
    <w:p w14:paraId="4901F3D7" w14:textId="266F2A90" w:rsidR="008B6B20" w:rsidRPr="00574B1E" w:rsidRDefault="00000000" w:rsidP="008B6B20">
      <w:pPr>
        <w:rPr>
          <w:rFonts w:ascii="Calibri" w:hAnsi="Calibri" w:cs="Calibri"/>
          <w:lang w:val="en-US"/>
        </w:rPr>
      </w:pPr>
      <w:hyperlink r:id="rId11" w:history="1">
        <w:r w:rsidR="00A53917">
          <w:rPr>
            <w:rStyle w:val="Hyperlink"/>
            <w:rFonts w:ascii="Calibri" w:hAnsi="Calibri" w:cs="Calibri"/>
            <w:lang w:val="en-US"/>
          </w:rPr>
          <w:t xml:space="preserve">CEPEJ Evaluation Report - Country Profiles – Croatia </w:t>
        </w:r>
      </w:hyperlink>
      <w:r w:rsidR="008B6B20" w:rsidRPr="00574B1E">
        <w:rPr>
          <w:rFonts w:ascii="Calibri" w:hAnsi="Calibri" w:cs="Calibri"/>
          <w:lang w:val="en-US"/>
        </w:rPr>
        <w:t xml:space="preserve"> </w:t>
      </w:r>
    </w:p>
    <w:p w14:paraId="6AF45BF0" w14:textId="77777777" w:rsidR="008B6B20" w:rsidRPr="0003402A" w:rsidRDefault="008B6B20" w:rsidP="008B6B20">
      <w:pPr>
        <w:shd w:val="clear" w:color="auto" w:fill="FFFFFF"/>
        <w:spacing w:before="100" w:beforeAutospacing="1" w:after="100" w:afterAutospacing="1"/>
        <w:rPr>
          <w:rFonts w:ascii="Calibri" w:hAnsi="Calibri" w:cs="Calibri"/>
          <w:lang w:val="en-US"/>
        </w:rPr>
      </w:pPr>
      <w:r w:rsidRPr="0003402A">
        <w:rPr>
          <w:rFonts w:ascii="Calibri" w:hAnsi="Calibri" w:cs="Calibri"/>
          <w:color w:val="000000"/>
          <w:lang w:val="en-US"/>
        </w:rPr>
        <w:t xml:space="preserve">In addition, CEPEJ prepares Country profiles in the framework of the CEPEJ Study for the EU Justice Scoreboard. </w:t>
      </w:r>
    </w:p>
    <w:p w14:paraId="3B78086A" w14:textId="517B0F54" w:rsidR="008B6B20" w:rsidRPr="00574B1E" w:rsidRDefault="00000000" w:rsidP="008B6B20">
      <w:pPr>
        <w:shd w:val="clear" w:color="auto" w:fill="FFFFFF"/>
        <w:spacing w:before="100" w:beforeAutospacing="1" w:after="100" w:afterAutospacing="1"/>
        <w:rPr>
          <w:rFonts w:ascii="Calibri" w:hAnsi="Calibri" w:cs="Calibri"/>
          <w:color w:val="161616"/>
          <w:lang w:val="en-US"/>
        </w:rPr>
      </w:pPr>
      <w:hyperlink r:id="rId12" w:history="1">
        <w:r w:rsidR="00A53917">
          <w:rPr>
            <w:rStyle w:val="Hyperlink"/>
            <w:rFonts w:ascii="Calibri" w:hAnsi="Calibri" w:cs="Calibri"/>
            <w:lang w:val="en-US"/>
          </w:rPr>
          <w:t>CEPEJ Country fiche - Scoreboard - Croatia (2022 data)</w:t>
        </w:r>
      </w:hyperlink>
    </w:p>
    <w:p w14:paraId="06E798A9" w14:textId="77777777" w:rsidR="008B6B20" w:rsidRPr="0003402A" w:rsidRDefault="008B6B20" w:rsidP="008B6B20">
      <w:pPr>
        <w:autoSpaceDE w:val="0"/>
        <w:autoSpaceDN w:val="0"/>
        <w:jc w:val="both"/>
        <w:rPr>
          <w:rFonts w:ascii="Calibri" w:hAnsi="Calibri" w:cs="Calibri"/>
          <w:color w:val="000000"/>
          <w:lang w:val="en-US"/>
        </w:rPr>
      </w:pPr>
      <w:r w:rsidRPr="0003402A">
        <w:rPr>
          <w:rFonts w:ascii="Calibri" w:hAnsi="Calibri" w:cs="Calibri"/>
          <w:color w:val="000000"/>
          <w:lang w:val="en-US"/>
        </w:rPr>
        <w:t>The 2023 data have been collected, quality checked and sent to DG-JUST in the framework of the 2025 EU Justice Scoreboard. The publication of the country profiles based on 2023 data will depend on final acceptation of the CEPEJ Study by DG-JUST. The CEPEJ Secretariat (</w:t>
      </w:r>
      <w:hyperlink r:id="rId13" w:history="1">
        <w:r w:rsidRPr="0003402A">
          <w:rPr>
            <w:rFonts w:ascii="Calibri" w:hAnsi="Calibri" w:cs="Calibri"/>
            <w:color w:val="0563C1"/>
            <w:u w:val="single"/>
            <w:lang w:val="en-US"/>
          </w:rPr>
          <w:t>christel.schurrer@coe.int</w:t>
        </w:r>
      </w:hyperlink>
      <w:r w:rsidRPr="0003402A">
        <w:rPr>
          <w:rFonts w:ascii="Calibri" w:hAnsi="Calibri" w:cs="Calibri"/>
          <w:color w:val="000000"/>
          <w:lang w:val="en-US"/>
        </w:rPr>
        <w:t xml:space="preserve">)  remains at the disposal of European Commission for any question related to these data. </w:t>
      </w:r>
    </w:p>
    <w:p w14:paraId="6F23B9FC" w14:textId="77777777" w:rsidR="008B6B20" w:rsidRDefault="008B6B20">
      <w:pPr>
        <w:rPr>
          <w:rFonts w:cs="Arial"/>
          <w:color w:val="FFFFFF" w:themeColor="background1"/>
          <w:sz w:val="22"/>
          <w:szCs w:val="22"/>
          <w:shd w:val="clear" w:color="auto" w:fill="1F3864" w:themeFill="accent1" w:themeFillShade="80"/>
          <w:lang w:val="en-US"/>
        </w:rPr>
      </w:pPr>
    </w:p>
    <w:p w14:paraId="38A631A4" w14:textId="77777777" w:rsidR="00877DC2" w:rsidRDefault="00877DC2" w:rsidP="00877DC2">
      <w:pPr>
        <w:pStyle w:val="Default"/>
        <w:jc w:val="both"/>
        <w:rPr>
          <w:rFonts w:asciiTheme="minorHAnsi" w:eastAsiaTheme="minorEastAsia" w:hAnsiTheme="minorHAnsi" w:cstheme="minorHAnsi"/>
          <w:b/>
          <w:bCs/>
          <w:color w:val="auto"/>
          <w:sz w:val="20"/>
          <w:szCs w:val="20"/>
          <w:lang w:val="en-GB"/>
        </w:rPr>
      </w:pPr>
      <w:r w:rsidRPr="00C1563B">
        <w:rPr>
          <w:rFonts w:asciiTheme="minorHAnsi" w:eastAsiaTheme="minorEastAsia" w:hAnsiTheme="minorHAnsi" w:cstheme="minorHAnsi"/>
          <w:b/>
          <w:bCs/>
          <w:color w:val="auto"/>
          <w:sz w:val="20"/>
          <w:szCs w:val="20"/>
          <w:lang w:val="en-GB"/>
        </w:rPr>
        <w:t xml:space="preserve">Execution of judgments of the European Court of Human Rights in </w:t>
      </w:r>
      <w:r>
        <w:rPr>
          <w:rFonts w:asciiTheme="minorHAnsi" w:eastAsiaTheme="minorEastAsia" w:hAnsiTheme="minorHAnsi" w:cstheme="minorHAnsi"/>
          <w:b/>
          <w:bCs/>
          <w:color w:val="auto"/>
          <w:sz w:val="20"/>
          <w:szCs w:val="20"/>
          <w:lang w:val="en-GB"/>
        </w:rPr>
        <w:t>Croatia</w:t>
      </w:r>
    </w:p>
    <w:p w14:paraId="5ACB3BEA" w14:textId="77777777" w:rsidR="00877DC2" w:rsidRDefault="00877DC2" w:rsidP="00877DC2">
      <w:pPr>
        <w:pStyle w:val="Default"/>
        <w:jc w:val="both"/>
        <w:rPr>
          <w:rFonts w:asciiTheme="minorHAnsi" w:eastAsiaTheme="minorEastAsia" w:hAnsiTheme="minorHAnsi" w:cstheme="minorHAnsi"/>
          <w:b/>
          <w:bCs/>
          <w:color w:val="auto"/>
          <w:sz w:val="20"/>
          <w:szCs w:val="20"/>
          <w:lang w:val="en-GB"/>
        </w:rPr>
      </w:pPr>
    </w:p>
    <w:p w14:paraId="41C669F5" w14:textId="77777777" w:rsidR="00877DC2" w:rsidRPr="00492B90" w:rsidRDefault="00877DC2" w:rsidP="00877DC2">
      <w:pPr>
        <w:pStyle w:val="Default"/>
        <w:jc w:val="both"/>
        <w:rPr>
          <w:rFonts w:cstheme="minorHAnsi"/>
          <w:b/>
          <w:bCs/>
          <w:i/>
          <w:iCs/>
          <w:sz w:val="20"/>
          <w:szCs w:val="20"/>
          <w:lang w:val="en-US"/>
        </w:rPr>
      </w:pPr>
      <w:bookmarkStart w:id="0" w:name="_Hlk189208018"/>
      <w:r>
        <w:rPr>
          <w:rFonts w:asciiTheme="minorHAnsi" w:eastAsiaTheme="minorEastAsia" w:hAnsiTheme="minorHAnsi" w:cstheme="minorHAnsi"/>
          <w:b/>
          <w:bCs/>
          <w:i/>
          <w:iCs/>
          <w:color w:val="auto"/>
          <w:sz w:val="20"/>
          <w:szCs w:val="20"/>
          <w:lang w:val="en-GB"/>
        </w:rPr>
        <w:t>IMPORTANT COMMENT</w:t>
      </w:r>
      <w:r w:rsidRPr="00AB04B5">
        <w:rPr>
          <w:rFonts w:asciiTheme="minorHAnsi" w:eastAsiaTheme="minorEastAsia" w:hAnsiTheme="minorHAnsi" w:cstheme="minorHAnsi"/>
          <w:b/>
          <w:bCs/>
          <w:i/>
          <w:iCs/>
          <w:color w:val="auto"/>
          <w:sz w:val="20"/>
          <w:szCs w:val="20"/>
          <w:lang w:val="en-GB"/>
        </w:rPr>
        <w:t xml:space="preserve">: </w:t>
      </w:r>
      <w:r w:rsidRPr="003C3013">
        <w:rPr>
          <w:rFonts w:cstheme="minorHAnsi"/>
          <w:b/>
          <w:bCs/>
          <w:i/>
          <w:iCs/>
          <w:sz w:val="20"/>
          <w:szCs w:val="20"/>
          <w:lang w:val="en-US"/>
        </w:rPr>
        <w:t xml:space="preserve">Official figures/statistics on the execution of judgments of the European Court of Human Rights are published in the Committee of Ministers </w:t>
      </w:r>
      <w:hyperlink r:id="rId14" w:history="1">
        <w:r w:rsidRPr="003C3013">
          <w:rPr>
            <w:rStyle w:val="Hyperlink"/>
            <w:rFonts w:cstheme="minorHAnsi"/>
            <w:b/>
            <w:bCs/>
            <w:i/>
            <w:iCs/>
            <w:sz w:val="20"/>
            <w:szCs w:val="20"/>
            <w:lang w:val="en-US"/>
          </w:rPr>
          <w:t>Annual reports on the execution</w:t>
        </w:r>
      </w:hyperlink>
      <w:r w:rsidRPr="003C3013">
        <w:rPr>
          <w:rFonts w:cstheme="minorHAnsi"/>
          <w:b/>
          <w:bCs/>
          <w:i/>
          <w:iCs/>
          <w:sz w:val="20"/>
          <w:szCs w:val="20"/>
          <w:lang w:val="en-US"/>
        </w:rPr>
        <w:t xml:space="preserve"> (next edition to be published in March 2025). The </w:t>
      </w:r>
      <w:proofErr w:type="spellStart"/>
      <w:r w:rsidRPr="003C3013">
        <w:rPr>
          <w:rFonts w:cstheme="minorHAnsi"/>
          <w:b/>
          <w:bCs/>
          <w:i/>
          <w:iCs/>
          <w:sz w:val="20"/>
          <w:szCs w:val="20"/>
          <w:lang w:val="en-US"/>
        </w:rPr>
        <w:t>CoE’s</w:t>
      </w:r>
      <w:proofErr w:type="spellEnd"/>
      <w:r w:rsidRPr="003C3013">
        <w:rPr>
          <w:rFonts w:cstheme="minorHAnsi"/>
          <w:b/>
          <w:bCs/>
          <w:i/>
          <w:iCs/>
          <w:sz w:val="20"/>
          <w:szCs w:val="20"/>
          <w:lang w:val="en-US"/>
        </w:rPr>
        <w:t xml:space="preserve"> Department for the Execution of Judgments can be consulted for any question on statistics: </w:t>
      </w:r>
      <w:hyperlink r:id="rId15" w:history="1">
        <w:r w:rsidRPr="003C3013">
          <w:rPr>
            <w:rStyle w:val="Hyperlink"/>
            <w:rFonts w:cstheme="minorHAnsi"/>
            <w:b/>
            <w:bCs/>
            <w:i/>
            <w:iCs/>
            <w:sz w:val="20"/>
            <w:szCs w:val="20"/>
            <w:lang w:val="en-US"/>
          </w:rPr>
          <w:t>DGI-Execution@coe.int</w:t>
        </w:r>
      </w:hyperlink>
      <w:r w:rsidRPr="003C3013">
        <w:rPr>
          <w:rFonts w:cstheme="minorHAnsi"/>
          <w:b/>
          <w:bCs/>
          <w:i/>
          <w:iCs/>
          <w:sz w:val="20"/>
          <w:szCs w:val="20"/>
          <w:lang w:val="en-US"/>
        </w:rPr>
        <w:t>.</w:t>
      </w:r>
      <w:bookmarkEnd w:id="0"/>
    </w:p>
    <w:p w14:paraId="55EB31FF" w14:textId="77777777" w:rsidR="008F705F" w:rsidRDefault="008F705F">
      <w:pPr>
        <w:rPr>
          <w:rFonts w:cs="Arial"/>
          <w:color w:val="FFFFFF" w:themeColor="background1"/>
          <w:sz w:val="22"/>
          <w:szCs w:val="22"/>
          <w:shd w:val="clear" w:color="auto" w:fill="1F3864" w:themeFill="accent1" w:themeFillShade="80"/>
          <w:lang w:val="en-US"/>
        </w:rPr>
      </w:pPr>
    </w:p>
    <w:p w14:paraId="0756DF94" w14:textId="77777777" w:rsidR="00877DC2" w:rsidRPr="00492B90" w:rsidRDefault="00877DC2" w:rsidP="00877DC2">
      <w:pPr>
        <w:pStyle w:val="ListParagraph"/>
        <w:numPr>
          <w:ilvl w:val="0"/>
          <w:numId w:val="14"/>
        </w:numPr>
        <w:rPr>
          <w:rFonts w:cstheme="minorHAnsi"/>
          <w:i/>
          <w:iCs/>
          <w:lang w:val="en-GB"/>
        </w:rPr>
      </w:pPr>
      <w:r w:rsidRPr="00492B90">
        <w:rPr>
          <w:rFonts w:cstheme="minorHAnsi"/>
          <w:i/>
          <w:iCs/>
          <w:lang w:val="en-GB"/>
        </w:rPr>
        <w:t xml:space="preserve">LENGTH OF PROCEEDINGS </w:t>
      </w:r>
    </w:p>
    <w:p w14:paraId="2ACBE9A3" w14:textId="77777777" w:rsidR="00877DC2" w:rsidRPr="00367874" w:rsidRDefault="00877DC2" w:rsidP="00877DC2">
      <w:pPr>
        <w:autoSpaceDE w:val="0"/>
        <w:autoSpaceDN w:val="0"/>
        <w:adjustRightInd w:val="0"/>
        <w:spacing w:after="86"/>
        <w:jc w:val="both"/>
        <w:rPr>
          <w:rFonts w:eastAsia="Calibri" w:cstheme="minorHAnsi"/>
          <w:lang w:val="en-GB"/>
        </w:rPr>
      </w:pPr>
      <w:proofErr w:type="spellStart"/>
      <w:r w:rsidRPr="00367874">
        <w:rPr>
          <w:rFonts w:eastAsia="Calibri" w:cstheme="minorHAnsi"/>
          <w:u w:val="single"/>
          <w:lang w:val="en-GB"/>
        </w:rPr>
        <w:t>Kirinčić</w:t>
      </w:r>
      <w:proofErr w:type="spellEnd"/>
      <w:r w:rsidRPr="00367874">
        <w:rPr>
          <w:rFonts w:eastAsia="Calibri" w:cstheme="minorHAnsi"/>
          <w:u w:val="single"/>
          <w:lang w:val="en-GB"/>
        </w:rPr>
        <w:t xml:space="preserve"> and </w:t>
      </w:r>
      <w:r>
        <w:rPr>
          <w:rFonts w:eastAsia="Calibri" w:cstheme="minorHAnsi"/>
          <w:u w:val="single"/>
          <w:lang w:val="en-GB"/>
        </w:rPr>
        <w:t>O</w:t>
      </w:r>
      <w:r w:rsidRPr="00367874">
        <w:rPr>
          <w:rFonts w:eastAsia="Calibri" w:cstheme="minorHAnsi"/>
          <w:u w:val="single"/>
          <w:lang w:val="en-GB"/>
        </w:rPr>
        <w:t>thers</w:t>
      </w:r>
      <w:r w:rsidRPr="00367874">
        <w:rPr>
          <w:rFonts w:eastAsia="Calibri" w:cstheme="minorHAnsi"/>
          <w:lang w:val="en-GB"/>
        </w:rPr>
        <w:t xml:space="preserve"> (31386/17) (STAND</w:t>
      </w:r>
      <w:proofErr w:type="gramStart"/>
      <w:r w:rsidRPr="00367874">
        <w:rPr>
          <w:rFonts w:eastAsia="Calibri" w:cstheme="minorHAnsi"/>
          <w:lang w:val="en-GB"/>
        </w:rPr>
        <w:t>) :</w:t>
      </w:r>
      <w:proofErr w:type="gramEnd"/>
      <w:r w:rsidRPr="00367874">
        <w:rPr>
          <w:rFonts w:eastAsia="Calibri" w:cstheme="minorHAnsi"/>
          <w:lang w:val="en-GB"/>
        </w:rPr>
        <w:t xml:space="preserve"> excessively lengthy civil proceedings and lack of an effective remedy.</w:t>
      </w:r>
    </w:p>
    <w:p w14:paraId="6BCEE6E2" w14:textId="77777777" w:rsidR="00877DC2" w:rsidRPr="00367874" w:rsidRDefault="00877DC2" w:rsidP="00877DC2">
      <w:pPr>
        <w:autoSpaceDE w:val="0"/>
        <w:autoSpaceDN w:val="0"/>
        <w:adjustRightInd w:val="0"/>
        <w:spacing w:after="86"/>
        <w:jc w:val="both"/>
        <w:rPr>
          <w:rFonts w:eastAsia="Calibri" w:cstheme="minorHAnsi"/>
          <w:lang w:val="en-GB"/>
        </w:rPr>
      </w:pPr>
      <w:r w:rsidRPr="00367874">
        <w:rPr>
          <w:rFonts w:eastAsia="Calibri" w:cstheme="minorHAnsi"/>
          <w:lang w:val="en-GB"/>
        </w:rPr>
        <w:t xml:space="preserve">Presentation on </w:t>
      </w:r>
      <w:proofErr w:type="spellStart"/>
      <w:r w:rsidRPr="00367874">
        <w:rPr>
          <w:rFonts w:eastAsia="Calibri" w:cstheme="minorHAnsi"/>
          <w:lang w:val="en-GB"/>
        </w:rPr>
        <w:t>Hudoc</w:t>
      </w:r>
      <w:proofErr w:type="spellEnd"/>
      <w:r>
        <w:rPr>
          <w:rFonts w:eastAsia="Calibri" w:cstheme="minorHAnsi"/>
          <w:lang w:val="en-GB"/>
        </w:rPr>
        <w:t>-</w:t>
      </w:r>
      <w:r w:rsidRPr="00367874">
        <w:rPr>
          <w:rFonts w:eastAsia="Calibri" w:cstheme="minorHAnsi"/>
          <w:lang w:val="en-GB"/>
        </w:rPr>
        <w:t xml:space="preserve">exec: </w:t>
      </w:r>
      <w:hyperlink r:id="rId16" w:history="1">
        <w:proofErr w:type="spellStart"/>
        <w:r w:rsidRPr="00367874">
          <w:rPr>
            <w:rStyle w:val="Hyperlink"/>
            <w:rFonts w:eastAsia="Calibri" w:cstheme="minorHAnsi"/>
            <w:lang w:val="en-GB"/>
          </w:rPr>
          <w:t>Kirinčić</w:t>
        </w:r>
        <w:proofErr w:type="spellEnd"/>
        <w:r w:rsidRPr="00367874">
          <w:rPr>
            <w:rStyle w:val="Hyperlink"/>
            <w:rFonts w:cstheme="minorHAnsi"/>
            <w:lang w:val="en-GB"/>
          </w:rPr>
          <w:t xml:space="preserve"> and Others</w:t>
        </w:r>
      </w:hyperlink>
      <w:r w:rsidRPr="00367874">
        <w:rPr>
          <w:rFonts w:eastAsia="Calibri" w:cstheme="minorHAnsi"/>
          <w:lang w:val="en-GB"/>
        </w:rPr>
        <w:t xml:space="preserve"> </w:t>
      </w:r>
    </w:p>
    <w:p w14:paraId="7B7C4FAE" w14:textId="77777777" w:rsidR="00877DC2" w:rsidRPr="00367874" w:rsidRDefault="00000000" w:rsidP="00877DC2">
      <w:pPr>
        <w:spacing w:line="259" w:lineRule="auto"/>
        <w:jc w:val="both"/>
        <w:rPr>
          <w:rFonts w:cstheme="minorHAnsi"/>
          <w:lang w:val="en-GB"/>
        </w:rPr>
      </w:pPr>
      <w:hyperlink r:id="rId17" w:anchor="{%22fulltext%22:[%22McFarlane%22],%22display%22:[2],%22EXECIdentifier%22:[%22CM/Del/Dec(2020)1383/H46-10E%22]}" w:history="1">
        <w:r w:rsidR="00877DC2" w:rsidRPr="00367874">
          <w:rPr>
            <w:rFonts w:cstheme="minorHAnsi"/>
            <w:lang w:val="en-GB"/>
          </w:rPr>
          <w:t>Latest decisions</w:t>
        </w:r>
      </w:hyperlink>
      <w:r w:rsidR="00877DC2" w:rsidRPr="00367874">
        <w:rPr>
          <w:rFonts w:cstheme="minorHAnsi"/>
          <w:lang w:val="en-GB"/>
        </w:rPr>
        <w:t>: n/a</w:t>
      </w:r>
    </w:p>
    <w:p w14:paraId="6B09AF7C" w14:textId="77777777" w:rsidR="00877DC2" w:rsidRDefault="00877DC2" w:rsidP="00877DC2">
      <w:pPr>
        <w:autoSpaceDE w:val="0"/>
        <w:autoSpaceDN w:val="0"/>
        <w:adjustRightInd w:val="0"/>
        <w:spacing w:after="86"/>
        <w:jc w:val="both"/>
        <w:rPr>
          <w:rStyle w:val="Hyperlink"/>
          <w:rFonts w:eastAsia="Calibri" w:cstheme="minorHAnsi"/>
          <w:lang w:val="en-GB"/>
        </w:rPr>
      </w:pPr>
      <w:r w:rsidRPr="00367874">
        <w:rPr>
          <w:rFonts w:eastAsia="Calibri" w:cstheme="minorHAnsi"/>
          <w:lang w:val="en-GB"/>
        </w:rPr>
        <w:t xml:space="preserve">Latest submissions: </w:t>
      </w:r>
      <w:hyperlink r:id="rId18" w:history="1">
        <w:r w:rsidRPr="0073349E">
          <w:rPr>
            <w:rStyle w:val="Hyperlink"/>
            <w:rFonts w:eastAsia="Calibri" w:cstheme="minorHAnsi"/>
            <w:lang w:val="en-GB"/>
          </w:rPr>
          <w:t>DH-</w:t>
        </w:r>
        <w:proofErr w:type="gramStart"/>
        <w:r w:rsidRPr="0073349E">
          <w:rPr>
            <w:rStyle w:val="Hyperlink"/>
            <w:rFonts w:eastAsia="Calibri" w:cstheme="minorHAnsi"/>
            <w:lang w:val="en-GB"/>
          </w:rPr>
          <w:t>DD(</w:t>
        </w:r>
        <w:proofErr w:type="gramEnd"/>
        <w:r w:rsidRPr="0073349E">
          <w:rPr>
            <w:rStyle w:val="Hyperlink"/>
            <w:rFonts w:eastAsia="Calibri" w:cstheme="minorHAnsi"/>
            <w:lang w:val="en-GB"/>
          </w:rPr>
          <w:t>2024)88</w:t>
        </w:r>
      </w:hyperlink>
    </w:p>
    <w:p w14:paraId="6D9E09D3" w14:textId="77777777" w:rsidR="00877DC2" w:rsidRPr="00492B90" w:rsidRDefault="00877DC2" w:rsidP="00877DC2">
      <w:pPr>
        <w:autoSpaceDE w:val="0"/>
        <w:autoSpaceDN w:val="0"/>
        <w:adjustRightInd w:val="0"/>
        <w:spacing w:after="86"/>
        <w:jc w:val="both"/>
        <w:rPr>
          <w:rStyle w:val="Hyperlink"/>
          <w:rFonts w:eastAsia="Calibri" w:cstheme="minorHAnsi"/>
          <w:u w:val="none"/>
          <w:lang w:val="en-GB"/>
        </w:rPr>
      </w:pPr>
    </w:p>
    <w:p w14:paraId="62EBE580" w14:textId="77777777" w:rsidR="00877DC2" w:rsidRPr="00492B90" w:rsidRDefault="00877DC2" w:rsidP="00877DC2">
      <w:pPr>
        <w:pStyle w:val="ListParagraph"/>
        <w:numPr>
          <w:ilvl w:val="0"/>
          <w:numId w:val="13"/>
        </w:numPr>
        <w:autoSpaceDE w:val="0"/>
        <w:autoSpaceDN w:val="0"/>
        <w:adjustRightInd w:val="0"/>
        <w:spacing w:after="86"/>
        <w:jc w:val="both"/>
        <w:rPr>
          <w:rFonts w:eastAsia="Calibri" w:cstheme="minorHAnsi"/>
          <w:i/>
          <w:iCs/>
          <w:lang w:val="en-GB"/>
        </w:rPr>
      </w:pPr>
      <w:r w:rsidRPr="00492B90">
        <w:rPr>
          <w:rFonts w:eastAsia="Calibri" w:cstheme="minorHAnsi"/>
          <w:i/>
          <w:iCs/>
          <w:lang w:val="en-GB"/>
        </w:rPr>
        <w:t>IMPARTIALITY OF JUDGES</w:t>
      </w:r>
    </w:p>
    <w:p w14:paraId="0ED05777" w14:textId="77777777" w:rsidR="00877DC2" w:rsidRPr="00492B90" w:rsidRDefault="00877DC2" w:rsidP="00877DC2">
      <w:pPr>
        <w:pStyle w:val="ListParagraph"/>
        <w:autoSpaceDE w:val="0"/>
        <w:autoSpaceDN w:val="0"/>
        <w:adjustRightInd w:val="0"/>
        <w:spacing w:after="86"/>
        <w:ind w:left="0"/>
        <w:jc w:val="both"/>
        <w:rPr>
          <w:rFonts w:eastAsia="Calibri" w:cstheme="minorHAnsi"/>
          <w:i/>
          <w:iCs/>
          <w:u w:val="single"/>
          <w:lang w:val="en-GB"/>
        </w:rPr>
      </w:pPr>
    </w:p>
    <w:p w14:paraId="69B81C49" w14:textId="77777777" w:rsidR="00877DC2" w:rsidRPr="00492B90" w:rsidRDefault="00877DC2" w:rsidP="00877DC2">
      <w:pPr>
        <w:pStyle w:val="ListParagraph"/>
        <w:autoSpaceDE w:val="0"/>
        <w:autoSpaceDN w:val="0"/>
        <w:adjustRightInd w:val="0"/>
        <w:spacing w:after="86"/>
        <w:ind w:left="0"/>
        <w:jc w:val="both"/>
        <w:rPr>
          <w:rFonts w:eastAsia="Calibri" w:cstheme="minorHAnsi"/>
          <w:lang w:val="en-GB"/>
        </w:rPr>
      </w:pPr>
      <w:proofErr w:type="spellStart"/>
      <w:r w:rsidRPr="00492B90">
        <w:rPr>
          <w:rFonts w:eastAsia="Calibri" w:cstheme="minorHAnsi"/>
          <w:lang w:val="en-GB"/>
        </w:rPr>
        <w:t>Kalcicek</w:t>
      </w:r>
      <w:proofErr w:type="spellEnd"/>
      <w:r w:rsidRPr="00492B90">
        <w:rPr>
          <w:rFonts w:eastAsia="Calibri" w:cstheme="minorHAnsi"/>
          <w:lang w:val="en-GB"/>
        </w:rPr>
        <w:t xml:space="preserve"> (22458/18) (STAND): Lack of impartiality guarantees before the Constitutional Court.</w:t>
      </w:r>
    </w:p>
    <w:p w14:paraId="5722153A" w14:textId="77777777" w:rsidR="00877DC2" w:rsidRPr="00492B90" w:rsidRDefault="00877DC2" w:rsidP="00877DC2">
      <w:pPr>
        <w:pStyle w:val="ListParagraph"/>
        <w:autoSpaceDE w:val="0"/>
        <w:autoSpaceDN w:val="0"/>
        <w:adjustRightInd w:val="0"/>
        <w:spacing w:after="86"/>
        <w:ind w:left="0"/>
        <w:jc w:val="both"/>
        <w:rPr>
          <w:rFonts w:eastAsia="Calibri" w:cstheme="minorHAnsi"/>
          <w:lang w:val="en-GB"/>
        </w:rPr>
      </w:pPr>
    </w:p>
    <w:p w14:paraId="519543D0" w14:textId="77777777" w:rsidR="00877DC2" w:rsidRPr="00492B90" w:rsidRDefault="00877DC2" w:rsidP="00877DC2">
      <w:pPr>
        <w:pStyle w:val="ListParagraph"/>
        <w:autoSpaceDE w:val="0"/>
        <w:autoSpaceDN w:val="0"/>
        <w:adjustRightInd w:val="0"/>
        <w:spacing w:after="86"/>
        <w:ind w:left="0"/>
        <w:jc w:val="both"/>
        <w:rPr>
          <w:rFonts w:eastAsia="Calibri" w:cstheme="minorHAnsi"/>
          <w:lang w:val="en-GB"/>
        </w:rPr>
      </w:pPr>
      <w:r w:rsidRPr="00492B90">
        <w:rPr>
          <w:rFonts w:eastAsia="Calibri" w:cstheme="minorHAnsi"/>
          <w:lang w:val="en-GB"/>
        </w:rPr>
        <w:t xml:space="preserve">Presentation on </w:t>
      </w:r>
      <w:proofErr w:type="spellStart"/>
      <w:r w:rsidRPr="00492B90">
        <w:rPr>
          <w:rFonts w:eastAsia="Calibri" w:cstheme="minorHAnsi"/>
          <w:lang w:val="en-GB"/>
        </w:rPr>
        <w:t>Hudoc</w:t>
      </w:r>
      <w:proofErr w:type="spellEnd"/>
      <w:r w:rsidRPr="00492B90">
        <w:rPr>
          <w:rFonts w:eastAsia="Calibri" w:cstheme="minorHAnsi"/>
          <w:lang w:val="en-GB"/>
        </w:rPr>
        <w:t xml:space="preserve">-exec: </w:t>
      </w:r>
      <w:hyperlink r:id="rId19" w:history="1">
        <w:hyperlink r:id="rId20" w:history="1">
          <w:r w:rsidRPr="00492B90">
            <w:rPr>
              <w:rStyle w:val="Hyperlink"/>
              <w:rFonts w:eastAsia="Calibri" w:cstheme="minorHAnsi"/>
              <w:lang w:val="en-GB"/>
            </w:rPr>
            <w:t>Kalcicek</w:t>
          </w:r>
        </w:hyperlink>
      </w:hyperlink>
    </w:p>
    <w:p w14:paraId="6657520F" w14:textId="77777777" w:rsidR="00877DC2" w:rsidRPr="00492B90" w:rsidRDefault="00877DC2" w:rsidP="00877DC2">
      <w:pPr>
        <w:pStyle w:val="ListParagraph"/>
        <w:autoSpaceDE w:val="0"/>
        <w:autoSpaceDN w:val="0"/>
        <w:adjustRightInd w:val="0"/>
        <w:spacing w:after="86"/>
        <w:ind w:left="0"/>
        <w:jc w:val="both"/>
        <w:rPr>
          <w:rFonts w:eastAsia="Calibri" w:cstheme="minorHAnsi"/>
          <w:lang w:val="en-GB"/>
        </w:rPr>
      </w:pPr>
    </w:p>
    <w:p w14:paraId="3EF3FEF0" w14:textId="77777777" w:rsidR="00877DC2" w:rsidRPr="00492B90" w:rsidRDefault="00877DC2" w:rsidP="00877DC2">
      <w:pPr>
        <w:pStyle w:val="ListParagraph"/>
        <w:autoSpaceDE w:val="0"/>
        <w:autoSpaceDN w:val="0"/>
        <w:adjustRightInd w:val="0"/>
        <w:spacing w:after="86"/>
        <w:ind w:left="0"/>
        <w:jc w:val="both"/>
        <w:rPr>
          <w:rFonts w:eastAsia="Calibri" w:cstheme="minorHAnsi"/>
          <w:lang w:val="en-GB"/>
        </w:rPr>
      </w:pPr>
      <w:r w:rsidRPr="00492B90">
        <w:rPr>
          <w:rFonts w:eastAsia="Calibri" w:cstheme="minorHAnsi"/>
          <w:lang w:val="en-GB"/>
        </w:rPr>
        <w:t>Latest decision: n/a</w:t>
      </w:r>
    </w:p>
    <w:p w14:paraId="31880FD6" w14:textId="77777777" w:rsidR="00877DC2" w:rsidRPr="00492B90" w:rsidRDefault="00877DC2" w:rsidP="00877DC2">
      <w:pPr>
        <w:pStyle w:val="ListParagraph"/>
        <w:autoSpaceDE w:val="0"/>
        <w:autoSpaceDN w:val="0"/>
        <w:adjustRightInd w:val="0"/>
        <w:spacing w:after="86"/>
        <w:ind w:left="0"/>
        <w:jc w:val="both"/>
        <w:rPr>
          <w:rFonts w:eastAsia="Calibri" w:cstheme="minorHAnsi"/>
          <w:lang w:val="en-GB"/>
        </w:rPr>
      </w:pPr>
      <w:r w:rsidRPr="00492B90">
        <w:rPr>
          <w:rFonts w:eastAsia="Calibri" w:cstheme="minorHAnsi"/>
          <w:lang w:val="en-GB"/>
        </w:rPr>
        <w:t xml:space="preserve">Latest submissions: </w:t>
      </w:r>
      <w:hyperlink r:id="rId21" w:history="1">
        <w:hyperlink r:id="rId22" w:history="1">
          <w:r w:rsidRPr="00492B90">
            <w:rPr>
              <w:rStyle w:val="Hyperlink"/>
              <w:rFonts w:eastAsia="Calibri" w:cstheme="minorHAnsi"/>
              <w:lang w:val="en-GB"/>
            </w:rPr>
            <w:t>DH-DD(2025)1434</w:t>
          </w:r>
        </w:hyperlink>
      </w:hyperlink>
      <w:r w:rsidRPr="00492B90">
        <w:rPr>
          <w:rFonts w:eastAsia="Calibri" w:cstheme="minorHAnsi"/>
          <w:lang w:val="en-GB"/>
        </w:rPr>
        <w:t xml:space="preserve"> </w:t>
      </w:r>
    </w:p>
    <w:p w14:paraId="619D78BD" w14:textId="77777777" w:rsidR="00877DC2" w:rsidRDefault="00877DC2">
      <w:pPr>
        <w:rPr>
          <w:rFonts w:cs="Arial"/>
          <w:color w:val="FFFFFF" w:themeColor="background1"/>
          <w:sz w:val="22"/>
          <w:szCs w:val="22"/>
          <w:shd w:val="clear" w:color="auto" w:fill="1F3864" w:themeFill="accent1" w:themeFillShade="80"/>
          <w:lang w:val="en-US"/>
        </w:rPr>
      </w:pPr>
    </w:p>
    <w:p w14:paraId="3BF080BE" w14:textId="77777777" w:rsidR="00BA0614" w:rsidRPr="00BA0614" w:rsidRDefault="00BA0614" w:rsidP="00BA0614">
      <w:pPr>
        <w:rPr>
          <w:lang w:val="en-GB"/>
        </w:rPr>
      </w:pPr>
      <w:r w:rsidRPr="00BA0614">
        <w:rPr>
          <w:lang w:val="en-GB"/>
        </w:rPr>
        <w:t>Implementation of Human Rights, Justice and Legal Co-operation Standards</w:t>
      </w:r>
    </w:p>
    <w:p w14:paraId="6BBF2844" w14:textId="77777777" w:rsidR="00BA0614" w:rsidRDefault="00BA0614">
      <w:pPr>
        <w:rPr>
          <w:rFonts w:cs="Arial"/>
          <w:color w:val="FFFFFF" w:themeColor="background1"/>
          <w:sz w:val="22"/>
          <w:szCs w:val="22"/>
          <w:shd w:val="clear" w:color="auto" w:fill="1F3864" w:themeFill="accent1" w:themeFillShade="80"/>
          <w:lang w:val="en-GB"/>
        </w:rPr>
      </w:pPr>
    </w:p>
    <w:p w14:paraId="0F2AB760" w14:textId="77777777" w:rsidR="00BA0614" w:rsidRPr="00452D6D" w:rsidRDefault="00BA0614" w:rsidP="00BA0614">
      <w:pPr>
        <w:pStyle w:val="ListParagraph"/>
        <w:numPr>
          <w:ilvl w:val="0"/>
          <w:numId w:val="15"/>
        </w:numPr>
        <w:spacing w:line="276" w:lineRule="auto"/>
        <w:jc w:val="both"/>
        <w:rPr>
          <w:rFonts w:ascii="Verdana" w:eastAsia="Times New Roman" w:hAnsi="Verdana" w:cs="Times New Roman"/>
          <w:sz w:val="18"/>
          <w:szCs w:val="18"/>
          <w:lang w:eastAsia="en-GB"/>
        </w:rPr>
      </w:pPr>
      <w:r w:rsidRPr="00452D6D">
        <w:rPr>
          <w:rFonts w:ascii="Verdana" w:eastAsia="Times New Roman" w:hAnsi="Verdana" w:cs="Times New Roman"/>
          <w:sz w:val="18"/>
          <w:szCs w:val="18"/>
          <w:lang w:eastAsia="en-GB"/>
        </w:rPr>
        <w:t>Digital transformation in justice s</w:t>
      </w:r>
      <w:r>
        <w:rPr>
          <w:rFonts w:ascii="Verdana" w:eastAsia="Times New Roman" w:hAnsi="Verdana" w:cs="Times New Roman"/>
          <w:sz w:val="18"/>
          <w:szCs w:val="18"/>
          <w:lang w:eastAsia="en-GB"/>
        </w:rPr>
        <w:t>ystem</w:t>
      </w:r>
    </w:p>
    <w:p w14:paraId="74C985BC" w14:textId="77777777" w:rsidR="00BA0614" w:rsidRDefault="00BA0614" w:rsidP="00BA0614">
      <w:pPr>
        <w:spacing w:line="276" w:lineRule="auto"/>
        <w:jc w:val="both"/>
        <w:rPr>
          <w:rFonts w:ascii="Verdana" w:eastAsia="Times New Roman" w:hAnsi="Verdana" w:cs="Times New Roman"/>
          <w:sz w:val="18"/>
          <w:szCs w:val="18"/>
          <w:lang w:val="en-GB" w:eastAsia="en-GB"/>
        </w:rPr>
      </w:pPr>
      <w:r w:rsidRPr="00F942FB">
        <w:rPr>
          <w:rFonts w:ascii="Verdana" w:eastAsia="Times New Roman" w:hAnsi="Verdana" w:cs="Times New Roman"/>
          <w:sz w:val="18"/>
          <w:szCs w:val="18"/>
          <w:lang w:val="en-GB" w:eastAsia="en-GB"/>
        </w:rPr>
        <w:t>Croatia has</w:t>
      </w:r>
      <w:r w:rsidRPr="00F53FFD">
        <w:rPr>
          <w:rFonts w:ascii="Verdana" w:eastAsia="Times New Roman" w:hAnsi="Verdana" w:cs="Times New Roman"/>
          <w:sz w:val="18"/>
          <w:szCs w:val="18"/>
          <w:lang w:val="en-GB" w:eastAsia="en-GB"/>
        </w:rPr>
        <w:t xml:space="preserve"> invested considerable efforts</w:t>
      </w:r>
      <w:r w:rsidRPr="00F942FB">
        <w:rPr>
          <w:rFonts w:ascii="Verdana" w:eastAsia="Times New Roman" w:hAnsi="Verdana" w:cs="Times New Roman"/>
          <w:sz w:val="18"/>
          <w:szCs w:val="18"/>
          <w:lang w:val="en-GB" w:eastAsia="en-GB"/>
        </w:rPr>
        <w:t xml:space="preserve"> in digitising the workflows of its commercial courts </w:t>
      </w:r>
      <w:proofErr w:type="gramStart"/>
      <w:r w:rsidRPr="00F942FB">
        <w:rPr>
          <w:rFonts w:ascii="Verdana" w:eastAsia="Times New Roman" w:hAnsi="Verdana" w:cs="Times New Roman"/>
          <w:sz w:val="18"/>
          <w:szCs w:val="18"/>
          <w:lang w:val="en-GB" w:eastAsia="en-GB"/>
        </w:rPr>
        <w:t>in order to</w:t>
      </w:r>
      <w:proofErr w:type="gramEnd"/>
      <w:r w:rsidRPr="00F942FB">
        <w:rPr>
          <w:rFonts w:ascii="Verdana" w:eastAsia="Times New Roman" w:hAnsi="Verdana" w:cs="Times New Roman"/>
          <w:sz w:val="18"/>
          <w:szCs w:val="18"/>
          <w:lang w:val="en-GB" w:eastAsia="en-GB"/>
        </w:rPr>
        <w:t xml:space="preserve"> enhance overall efficienc</w:t>
      </w:r>
      <w:r w:rsidRPr="00F53FFD">
        <w:rPr>
          <w:rFonts w:ascii="Verdana" w:eastAsia="Times New Roman" w:hAnsi="Verdana" w:cs="Times New Roman"/>
          <w:sz w:val="18"/>
          <w:szCs w:val="18"/>
          <w:lang w:val="en-GB" w:eastAsia="en-GB"/>
        </w:rPr>
        <w:t>y with a view</w:t>
      </w:r>
      <w:r w:rsidRPr="00F942FB">
        <w:rPr>
          <w:rFonts w:ascii="Verdana" w:eastAsia="Times New Roman" w:hAnsi="Verdana" w:cs="Times New Roman"/>
          <w:sz w:val="18"/>
          <w:szCs w:val="18"/>
          <w:lang w:val="en-GB" w:eastAsia="en-GB"/>
        </w:rPr>
        <w:t xml:space="preserve"> to optimise resources, reduce the duration of proceedings</w:t>
      </w:r>
      <w:r w:rsidRPr="00F53FFD">
        <w:rPr>
          <w:rFonts w:ascii="Verdana" w:eastAsia="Times New Roman" w:hAnsi="Verdana" w:cs="Times New Roman"/>
          <w:sz w:val="18"/>
          <w:szCs w:val="18"/>
          <w:lang w:val="en-GB" w:eastAsia="en-GB"/>
        </w:rPr>
        <w:t xml:space="preserve"> and </w:t>
      </w:r>
      <w:r w:rsidRPr="00F942FB">
        <w:rPr>
          <w:rFonts w:ascii="Verdana" w:eastAsia="Times New Roman" w:hAnsi="Verdana" w:cs="Times New Roman"/>
          <w:sz w:val="18"/>
          <w:szCs w:val="18"/>
          <w:lang w:val="en-GB" w:eastAsia="en-GB"/>
        </w:rPr>
        <w:t>case backlogs</w:t>
      </w:r>
      <w:r w:rsidRPr="00F53FFD">
        <w:rPr>
          <w:rFonts w:ascii="Verdana" w:eastAsia="Times New Roman" w:hAnsi="Verdana" w:cs="Times New Roman"/>
          <w:sz w:val="18"/>
          <w:szCs w:val="18"/>
          <w:lang w:val="en-GB" w:eastAsia="en-GB"/>
        </w:rPr>
        <w:t xml:space="preserve"> in civil </w:t>
      </w:r>
      <w:r>
        <w:rPr>
          <w:rFonts w:ascii="Verdana" w:eastAsia="Times New Roman" w:hAnsi="Verdana" w:cs="Times New Roman"/>
          <w:sz w:val="18"/>
          <w:szCs w:val="18"/>
          <w:lang w:val="en-GB" w:eastAsia="en-GB"/>
        </w:rPr>
        <w:t xml:space="preserve">and </w:t>
      </w:r>
      <w:r w:rsidRPr="00F53FFD">
        <w:rPr>
          <w:rFonts w:ascii="Verdana" w:eastAsia="Times New Roman" w:hAnsi="Verdana" w:cs="Times New Roman"/>
          <w:sz w:val="18"/>
          <w:szCs w:val="18"/>
          <w:lang w:val="en-GB" w:eastAsia="en-GB"/>
        </w:rPr>
        <w:t>commercial litigations</w:t>
      </w:r>
      <w:r w:rsidRPr="00F942FB">
        <w:rPr>
          <w:rFonts w:ascii="Verdana" w:eastAsia="Times New Roman" w:hAnsi="Verdana" w:cs="Times New Roman"/>
          <w:sz w:val="18"/>
          <w:szCs w:val="18"/>
          <w:lang w:val="en-GB" w:eastAsia="en-GB"/>
        </w:rPr>
        <w:t>. Efforts</w:t>
      </w:r>
      <w:r>
        <w:rPr>
          <w:rStyle w:val="FootnoteReference"/>
          <w:rFonts w:ascii="Verdana" w:eastAsia="Times New Roman" w:hAnsi="Verdana" w:cs="Times New Roman"/>
          <w:sz w:val="18"/>
          <w:szCs w:val="18"/>
          <w:lang w:val="en-GB" w:eastAsia="en-GB"/>
        </w:rPr>
        <w:footnoteReference w:id="1"/>
      </w:r>
      <w:r w:rsidRPr="00F942FB">
        <w:rPr>
          <w:rFonts w:ascii="Verdana" w:eastAsia="Times New Roman" w:hAnsi="Verdana" w:cs="Times New Roman"/>
          <w:sz w:val="18"/>
          <w:szCs w:val="18"/>
          <w:lang w:val="en-GB" w:eastAsia="en-GB"/>
        </w:rPr>
        <w:t xml:space="preserve"> to fully transition to paperless</w:t>
      </w:r>
      <w:r w:rsidRPr="00F53FFD">
        <w:rPr>
          <w:rFonts w:ascii="Verdana" w:eastAsia="Times New Roman" w:hAnsi="Verdana" w:cs="Times New Roman"/>
          <w:sz w:val="18"/>
          <w:szCs w:val="18"/>
          <w:lang w:val="en-GB" w:eastAsia="en-GB"/>
        </w:rPr>
        <w:t xml:space="preserve"> commercial court</w:t>
      </w:r>
      <w:r w:rsidRPr="00F942FB">
        <w:rPr>
          <w:rFonts w:ascii="Verdana" w:eastAsia="Times New Roman" w:hAnsi="Verdana" w:cs="Times New Roman"/>
          <w:sz w:val="18"/>
          <w:szCs w:val="18"/>
          <w:lang w:val="en-GB" w:eastAsia="en-GB"/>
        </w:rPr>
        <w:t xml:space="preserve"> </w:t>
      </w:r>
      <w:r w:rsidRPr="00F53FFD">
        <w:rPr>
          <w:rFonts w:ascii="Verdana" w:eastAsia="Times New Roman" w:hAnsi="Verdana" w:cs="Times New Roman"/>
          <w:sz w:val="18"/>
          <w:szCs w:val="18"/>
          <w:lang w:val="en-GB" w:eastAsia="en-GB"/>
        </w:rPr>
        <w:t>workflows</w:t>
      </w:r>
      <w:r w:rsidRPr="00F942FB">
        <w:rPr>
          <w:rFonts w:ascii="Verdana" w:eastAsia="Times New Roman" w:hAnsi="Verdana" w:cs="Times New Roman"/>
          <w:sz w:val="18"/>
          <w:szCs w:val="18"/>
          <w:lang w:val="en-GB" w:eastAsia="en-GB"/>
        </w:rPr>
        <w:t xml:space="preserve"> have been focused on four pilot commercial courts—Zagreb, Dubrovnik, Split, and </w:t>
      </w:r>
      <w:proofErr w:type="spellStart"/>
      <w:r w:rsidRPr="00F942FB">
        <w:rPr>
          <w:rFonts w:ascii="Verdana" w:eastAsia="Times New Roman" w:hAnsi="Verdana" w:cs="Times New Roman"/>
          <w:sz w:val="18"/>
          <w:szCs w:val="18"/>
          <w:lang w:val="en-GB" w:eastAsia="en-GB"/>
        </w:rPr>
        <w:t>Varaždin</w:t>
      </w:r>
      <w:proofErr w:type="spellEnd"/>
      <w:r w:rsidRPr="00F942FB">
        <w:rPr>
          <w:rFonts w:ascii="Verdana" w:eastAsia="Times New Roman" w:hAnsi="Verdana" w:cs="Times New Roman"/>
          <w:sz w:val="18"/>
          <w:szCs w:val="18"/>
          <w:lang w:val="en-GB" w:eastAsia="en-GB"/>
        </w:rPr>
        <w:t xml:space="preserve">— and are expected to have a wider impact across all commercial courts in the country. </w:t>
      </w:r>
      <w:r w:rsidRPr="00F53FFD">
        <w:rPr>
          <w:rFonts w:ascii="Verdana" w:eastAsia="Times New Roman" w:hAnsi="Verdana" w:cs="Times New Roman"/>
          <w:sz w:val="18"/>
          <w:szCs w:val="18"/>
          <w:lang w:val="en-GB" w:eastAsia="en-GB"/>
        </w:rPr>
        <w:t xml:space="preserve">Commercial courts are first in line to become fully digital and involve the lowest risk for violations of human rights in imposition of digital technologies to end users unlike criminal courts. </w:t>
      </w:r>
      <w:r w:rsidRPr="00F942FB">
        <w:rPr>
          <w:rFonts w:ascii="Verdana" w:eastAsia="Times New Roman" w:hAnsi="Verdana" w:cs="Times New Roman"/>
          <w:sz w:val="18"/>
          <w:szCs w:val="18"/>
          <w:lang w:val="en-GB" w:eastAsia="en-GB"/>
        </w:rPr>
        <w:t>While progress is being made at a steady pace, it is essential to continue reinforcing the legal framework, particularly through the Civil Procedure Act and the Law on Court Registry. Strengthening these laws will support the smooth and continu</w:t>
      </w:r>
      <w:r w:rsidRPr="00F53FFD">
        <w:rPr>
          <w:rFonts w:ascii="Verdana" w:eastAsia="Times New Roman" w:hAnsi="Verdana" w:cs="Times New Roman"/>
          <w:sz w:val="18"/>
          <w:szCs w:val="18"/>
          <w:lang w:val="en-GB" w:eastAsia="en-GB"/>
        </w:rPr>
        <w:t>ous</w:t>
      </w:r>
      <w:r w:rsidRPr="00F942FB">
        <w:rPr>
          <w:rFonts w:ascii="Verdana" w:eastAsia="Times New Roman" w:hAnsi="Verdana" w:cs="Times New Roman"/>
          <w:sz w:val="18"/>
          <w:szCs w:val="18"/>
          <w:lang w:val="en-GB" w:eastAsia="en-GB"/>
        </w:rPr>
        <w:t xml:space="preserve"> </w:t>
      </w:r>
      <w:r w:rsidRPr="00F53FFD">
        <w:rPr>
          <w:rFonts w:ascii="Verdana" w:eastAsia="Times New Roman" w:hAnsi="Verdana" w:cs="Times New Roman"/>
          <w:sz w:val="18"/>
          <w:szCs w:val="18"/>
          <w:lang w:val="en-GB" w:eastAsia="en-GB"/>
        </w:rPr>
        <w:t xml:space="preserve">evolution of </w:t>
      </w:r>
      <w:r w:rsidRPr="00F942FB">
        <w:rPr>
          <w:rFonts w:ascii="Verdana" w:eastAsia="Times New Roman" w:hAnsi="Verdana" w:cs="Times New Roman"/>
          <w:sz w:val="18"/>
          <w:szCs w:val="18"/>
          <w:lang w:val="en-GB" w:eastAsia="en-GB"/>
        </w:rPr>
        <w:t xml:space="preserve">digital transformation of the judiciary in Croatia, ensuring it is not left regulated </w:t>
      </w:r>
      <w:r w:rsidRPr="00F53FFD">
        <w:rPr>
          <w:rFonts w:ascii="Verdana" w:eastAsia="Times New Roman" w:hAnsi="Verdana" w:cs="Times New Roman"/>
          <w:sz w:val="18"/>
          <w:szCs w:val="18"/>
          <w:lang w:val="en-GB" w:eastAsia="en-GB"/>
        </w:rPr>
        <w:t xml:space="preserve">only </w:t>
      </w:r>
      <w:r w:rsidRPr="00F942FB">
        <w:rPr>
          <w:rFonts w:ascii="Verdana" w:eastAsia="Times New Roman" w:hAnsi="Verdana" w:cs="Times New Roman"/>
          <w:sz w:val="18"/>
          <w:szCs w:val="18"/>
          <w:lang w:val="en-GB" w:eastAsia="en-GB"/>
        </w:rPr>
        <w:t>by the Ordinance on e</w:t>
      </w:r>
      <w:r w:rsidRPr="00F53FFD">
        <w:rPr>
          <w:rFonts w:ascii="Verdana" w:eastAsia="Times New Roman" w:hAnsi="Verdana" w:cs="Times New Roman"/>
          <w:sz w:val="18"/>
          <w:szCs w:val="18"/>
          <w:lang w:val="en-GB" w:eastAsia="en-GB"/>
        </w:rPr>
        <w:t>-</w:t>
      </w:r>
      <w:r w:rsidRPr="00F942FB">
        <w:rPr>
          <w:rFonts w:ascii="Verdana" w:eastAsia="Times New Roman" w:hAnsi="Verdana" w:cs="Times New Roman"/>
          <w:sz w:val="18"/>
          <w:szCs w:val="18"/>
          <w:lang w:val="en-GB" w:eastAsia="en-GB"/>
        </w:rPr>
        <w:t>Communication</w:t>
      </w:r>
      <w:r>
        <w:rPr>
          <w:rStyle w:val="FootnoteReference"/>
          <w:rFonts w:ascii="Verdana" w:eastAsia="Times New Roman" w:hAnsi="Verdana" w:cs="Times New Roman"/>
          <w:sz w:val="18"/>
          <w:szCs w:val="18"/>
          <w:lang w:val="en-GB" w:eastAsia="en-GB"/>
        </w:rPr>
        <w:footnoteReference w:id="2"/>
      </w:r>
      <w:r w:rsidRPr="00F942FB">
        <w:rPr>
          <w:rFonts w:ascii="Verdana" w:eastAsia="Times New Roman" w:hAnsi="Verdana" w:cs="Times New Roman"/>
          <w:sz w:val="18"/>
          <w:szCs w:val="18"/>
          <w:lang w:val="en-GB" w:eastAsia="en-GB"/>
        </w:rPr>
        <w:t>.</w:t>
      </w:r>
      <w:r w:rsidRPr="00F53FFD">
        <w:rPr>
          <w:rFonts w:ascii="Verdana" w:eastAsia="Times New Roman" w:hAnsi="Verdana" w:cs="Times New Roman"/>
          <w:sz w:val="18"/>
          <w:szCs w:val="18"/>
          <w:lang w:val="en-GB" w:eastAsia="en-GB"/>
        </w:rPr>
        <w:t xml:space="preserve"> </w:t>
      </w:r>
    </w:p>
    <w:p w14:paraId="721C6F69" w14:textId="77777777" w:rsidR="00BA0614" w:rsidRDefault="00BA0614" w:rsidP="00BA0614">
      <w:pPr>
        <w:spacing w:line="276" w:lineRule="auto"/>
        <w:jc w:val="both"/>
        <w:rPr>
          <w:rFonts w:ascii="Verdana" w:eastAsia="Times New Roman" w:hAnsi="Verdana" w:cs="Times New Roman"/>
          <w:sz w:val="18"/>
          <w:szCs w:val="18"/>
          <w:lang w:val="en-GB" w:eastAsia="en-GB"/>
        </w:rPr>
      </w:pPr>
    </w:p>
    <w:p w14:paraId="47EB018F" w14:textId="77777777" w:rsidR="00BA0614" w:rsidRPr="001172F2" w:rsidRDefault="00BA0614" w:rsidP="00BA0614">
      <w:pPr>
        <w:pStyle w:val="ListParagraph"/>
        <w:numPr>
          <w:ilvl w:val="0"/>
          <w:numId w:val="15"/>
        </w:numPr>
        <w:spacing w:line="276" w:lineRule="auto"/>
        <w:jc w:val="both"/>
        <w:rPr>
          <w:rFonts w:ascii="Verdana" w:eastAsia="Times New Roman" w:hAnsi="Verdana" w:cs="Times New Roman"/>
          <w:sz w:val="18"/>
          <w:szCs w:val="18"/>
          <w:lang w:val="en-GB" w:eastAsia="en-GB"/>
        </w:rPr>
      </w:pPr>
      <w:r w:rsidRPr="001172F2">
        <w:rPr>
          <w:rFonts w:ascii="Verdana" w:eastAsia="Times New Roman" w:hAnsi="Verdana" w:cs="Times New Roman"/>
          <w:sz w:val="18"/>
          <w:szCs w:val="18"/>
          <w:lang w:val="en-GB" w:eastAsia="en-GB"/>
        </w:rPr>
        <w:t>Involvement of Constitutional Court in digital transformation</w:t>
      </w:r>
    </w:p>
    <w:p w14:paraId="1DA7B2E1" w14:textId="77777777" w:rsidR="00BA0614" w:rsidRPr="00757981" w:rsidRDefault="00BA0614" w:rsidP="00BA0614">
      <w:pPr>
        <w:spacing w:line="276" w:lineRule="auto"/>
        <w:jc w:val="both"/>
        <w:rPr>
          <w:rFonts w:ascii="Verdana" w:hAnsi="Verdana"/>
          <w:i/>
          <w:iCs/>
          <w:sz w:val="18"/>
          <w:szCs w:val="18"/>
          <w:lang w:val="en-GB" w:eastAsia="en-GB"/>
        </w:rPr>
      </w:pPr>
      <w:r>
        <w:rPr>
          <w:rFonts w:ascii="Verdana" w:eastAsia="Times New Roman" w:hAnsi="Verdana" w:cs="Times New Roman"/>
          <w:sz w:val="18"/>
          <w:szCs w:val="18"/>
          <w:lang w:val="en-GB" w:eastAsia="en-GB"/>
        </w:rPr>
        <w:t>T</w:t>
      </w:r>
      <w:r w:rsidRPr="001172F2">
        <w:rPr>
          <w:rFonts w:ascii="Verdana" w:eastAsia="Times New Roman" w:hAnsi="Verdana" w:cs="Times New Roman"/>
          <w:sz w:val="18"/>
          <w:szCs w:val="18"/>
          <w:lang w:val="en-GB" w:eastAsia="en-GB"/>
        </w:rPr>
        <w:t xml:space="preserve">he Constitutional Court of the Republic of Croatia </w:t>
      </w:r>
      <w:r>
        <w:rPr>
          <w:rFonts w:ascii="Verdana" w:eastAsia="Times New Roman" w:hAnsi="Verdana" w:cs="Times New Roman"/>
          <w:sz w:val="18"/>
          <w:szCs w:val="18"/>
          <w:lang w:val="en-GB" w:eastAsia="en-GB"/>
        </w:rPr>
        <w:t xml:space="preserve">has demonstrated eagerness to participate in digital transformation of justice and initiated the first step to connect to e-Communication system regarding the cases </w:t>
      </w:r>
      <w:r w:rsidRPr="00246278">
        <w:rPr>
          <w:rFonts w:ascii="Verdana" w:eastAsia="Times New Roman" w:hAnsi="Verdana" w:cs="Times New Roman"/>
          <w:sz w:val="18"/>
          <w:szCs w:val="18"/>
          <w:lang w:val="en-GB" w:eastAsia="en-GB"/>
        </w:rPr>
        <w:t>that are brought before them in the constitutional appeal process.</w:t>
      </w:r>
      <w:r>
        <w:rPr>
          <w:rFonts w:ascii="Verdana" w:eastAsia="Times New Roman" w:hAnsi="Verdana" w:cs="Times New Roman"/>
          <w:sz w:val="18"/>
          <w:szCs w:val="18"/>
          <w:lang w:val="en-GB" w:eastAsia="en-GB"/>
        </w:rPr>
        <w:t xml:space="preserve"> </w:t>
      </w:r>
      <w:r w:rsidRPr="00757981">
        <w:rPr>
          <w:rFonts w:ascii="Verdana" w:eastAsia="Times New Roman" w:hAnsi="Verdana" w:cs="Times New Roman"/>
          <w:sz w:val="18"/>
          <w:szCs w:val="18"/>
          <w:lang w:val="en-GB" w:eastAsia="en-GB"/>
        </w:rPr>
        <w:t xml:space="preserve">A more inclusive approach is encouraged, with the Constitutional Court </w:t>
      </w:r>
      <w:r>
        <w:rPr>
          <w:rFonts w:ascii="Verdana" w:eastAsia="Times New Roman" w:hAnsi="Verdana" w:cs="Times New Roman"/>
          <w:sz w:val="18"/>
          <w:szCs w:val="18"/>
          <w:lang w:val="en-GB" w:eastAsia="en-GB"/>
        </w:rPr>
        <w:t>participates</w:t>
      </w:r>
      <w:r w:rsidRPr="00757981">
        <w:rPr>
          <w:rFonts w:ascii="Verdana" w:eastAsia="Times New Roman" w:hAnsi="Verdana" w:cs="Times New Roman"/>
          <w:sz w:val="18"/>
          <w:szCs w:val="18"/>
          <w:lang w:val="en-GB" w:eastAsia="en-GB"/>
        </w:rPr>
        <w:t xml:space="preserve"> in the digital transformation process.</w:t>
      </w:r>
    </w:p>
    <w:p w14:paraId="458612BE" w14:textId="77777777" w:rsidR="00BA0614" w:rsidRPr="00F942FB" w:rsidRDefault="00BA0614" w:rsidP="00BA0614">
      <w:pPr>
        <w:spacing w:line="276" w:lineRule="auto"/>
        <w:jc w:val="both"/>
        <w:rPr>
          <w:rFonts w:ascii="Verdana" w:eastAsia="Times New Roman" w:hAnsi="Verdana" w:cs="Times New Roman"/>
          <w:sz w:val="18"/>
          <w:szCs w:val="18"/>
          <w:lang w:val="en-GB" w:eastAsia="en-GB"/>
        </w:rPr>
      </w:pPr>
    </w:p>
    <w:p w14:paraId="4389D4EC" w14:textId="77777777" w:rsidR="00BA0614" w:rsidRPr="00077FDE" w:rsidRDefault="00BA0614" w:rsidP="00BA0614">
      <w:pPr>
        <w:pStyle w:val="ListParagraph"/>
        <w:numPr>
          <w:ilvl w:val="0"/>
          <w:numId w:val="15"/>
        </w:numPr>
        <w:spacing w:line="276" w:lineRule="auto"/>
        <w:jc w:val="both"/>
        <w:rPr>
          <w:rFonts w:ascii="Verdana" w:hAnsi="Verdana"/>
          <w:sz w:val="18"/>
          <w:szCs w:val="18"/>
          <w:lang w:val="en-GB"/>
        </w:rPr>
      </w:pPr>
      <w:r w:rsidRPr="00077FDE">
        <w:rPr>
          <w:rFonts w:ascii="Verdana" w:hAnsi="Verdana"/>
          <w:sz w:val="18"/>
          <w:szCs w:val="18"/>
          <w:lang w:val="en-GB"/>
        </w:rPr>
        <w:t>Transparency of justice</w:t>
      </w:r>
    </w:p>
    <w:p w14:paraId="19BA29AB" w14:textId="77777777" w:rsidR="00BA0614" w:rsidRDefault="00BA0614" w:rsidP="00BA0614">
      <w:pPr>
        <w:pStyle w:val="Text1"/>
        <w:spacing w:line="276" w:lineRule="auto"/>
        <w:ind w:left="0"/>
        <w:rPr>
          <w:sz w:val="18"/>
          <w:szCs w:val="18"/>
        </w:rPr>
      </w:pPr>
      <w:r>
        <w:rPr>
          <w:sz w:val="18"/>
          <w:szCs w:val="18"/>
        </w:rPr>
        <w:t>Despite considerable efforts invested vis-à-vis transparency of justice</w:t>
      </w:r>
      <w:r>
        <w:rPr>
          <w:rStyle w:val="FootnoteReference"/>
          <w:sz w:val="18"/>
          <w:szCs w:val="18"/>
        </w:rPr>
        <w:footnoteReference w:id="3"/>
      </w:r>
      <w:r>
        <w:rPr>
          <w:sz w:val="18"/>
          <w:szCs w:val="18"/>
        </w:rPr>
        <w:t>, e</w:t>
      </w:r>
      <w:r w:rsidRPr="009C1529">
        <w:rPr>
          <w:sz w:val="18"/>
          <w:szCs w:val="18"/>
        </w:rPr>
        <w:t xml:space="preserve">nd users </w:t>
      </w:r>
      <w:r w:rsidRPr="001B5A3A">
        <w:rPr>
          <w:sz w:val="18"/>
          <w:szCs w:val="18"/>
        </w:rPr>
        <w:t xml:space="preserve">of justice system </w:t>
      </w:r>
      <w:r>
        <w:rPr>
          <w:sz w:val="18"/>
          <w:szCs w:val="18"/>
        </w:rPr>
        <w:t xml:space="preserve">have limited means to make informed decisions </w:t>
      </w:r>
      <w:r w:rsidRPr="0080132B">
        <w:rPr>
          <w:sz w:val="18"/>
          <w:szCs w:val="18"/>
        </w:rPr>
        <w:t>concerning costs, duration and success rate of potential civil</w:t>
      </w:r>
      <w:r>
        <w:rPr>
          <w:sz w:val="18"/>
          <w:szCs w:val="18"/>
        </w:rPr>
        <w:t xml:space="preserve"> and</w:t>
      </w:r>
      <w:r w:rsidRPr="0080132B">
        <w:rPr>
          <w:sz w:val="18"/>
          <w:szCs w:val="18"/>
        </w:rPr>
        <w:t xml:space="preserve"> commercial</w:t>
      </w:r>
      <w:r w:rsidRPr="001B5A3A">
        <w:rPr>
          <w:sz w:val="18"/>
          <w:szCs w:val="18"/>
        </w:rPr>
        <w:t xml:space="preserve"> proceedings</w:t>
      </w:r>
      <w:r>
        <w:rPr>
          <w:sz w:val="18"/>
          <w:szCs w:val="18"/>
        </w:rPr>
        <w:t xml:space="preserve">, therefore undermining non-judicial mechanisms in </w:t>
      </w:r>
      <w:r w:rsidRPr="00B23DCD">
        <w:rPr>
          <w:sz w:val="18"/>
          <w:szCs w:val="18"/>
        </w:rPr>
        <w:t>non-strategic and repetitive cases</w:t>
      </w:r>
      <w:r>
        <w:rPr>
          <w:sz w:val="18"/>
          <w:szCs w:val="18"/>
        </w:rPr>
        <w:t>, leading to o</w:t>
      </w:r>
      <w:r w:rsidRPr="009C1529">
        <w:rPr>
          <w:sz w:val="18"/>
          <w:szCs w:val="18"/>
        </w:rPr>
        <w:t>verloading the courts</w:t>
      </w:r>
      <w:r>
        <w:rPr>
          <w:sz w:val="18"/>
          <w:szCs w:val="18"/>
        </w:rPr>
        <w:t xml:space="preserve"> with high influx of cases.</w:t>
      </w:r>
      <w:r w:rsidRPr="009C1529">
        <w:rPr>
          <w:sz w:val="18"/>
          <w:szCs w:val="18"/>
        </w:rPr>
        <w:t xml:space="preserve"> In particular, the level of incoming cases, </w:t>
      </w:r>
      <w:r w:rsidRPr="00606C71">
        <w:rPr>
          <w:sz w:val="18"/>
          <w:szCs w:val="18"/>
        </w:rPr>
        <w:t>backlogs and the length of proceedings in civil and commercial cases in Croatia remain among the highest in the EU</w:t>
      </w:r>
      <w:r w:rsidRPr="00606C71">
        <w:rPr>
          <w:rStyle w:val="FootnoteReference"/>
          <w:sz w:val="18"/>
          <w:szCs w:val="18"/>
        </w:rPr>
        <w:footnoteReference w:id="4"/>
      </w:r>
      <w:r w:rsidRPr="00606C71">
        <w:rPr>
          <w:sz w:val="18"/>
          <w:szCs w:val="18"/>
        </w:rPr>
        <w:t>.</w:t>
      </w:r>
      <w:r w:rsidRPr="009C1529">
        <w:rPr>
          <w:sz w:val="18"/>
          <w:szCs w:val="18"/>
        </w:rPr>
        <w:t xml:space="preserve"> </w:t>
      </w:r>
    </w:p>
    <w:p w14:paraId="15DD46FC" w14:textId="77777777" w:rsidR="00BA0614" w:rsidRPr="009C1529" w:rsidRDefault="00BA0614" w:rsidP="00BA0614">
      <w:pPr>
        <w:pStyle w:val="Text1"/>
        <w:spacing w:line="276" w:lineRule="auto"/>
        <w:ind w:left="0"/>
        <w:rPr>
          <w:sz w:val="18"/>
          <w:szCs w:val="18"/>
        </w:rPr>
      </w:pPr>
      <w:r>
        <w:rPr>
          <w:sz w:val="18"/>
          <w:szCs w:val="18"/>
        </w:rPr>
        <w:t>Furthermore,</w:t>
      </w:r>
      <w:r w:rsidRPr="009C1529">
        <w:rPr>
          <w:sz w:val="18"/>
          <w:szCs w:val="18"/>
        </w:rPr>
        <w:t xml:space="preserve"> the national procedural mechanism applied to maintain consistency of caselaw at the level of civil (municipal and county) and commercial courts has been found by the Court of Justice of the European Union</w:t>
      </w:r>
      <w:r w:rsidRPr="009C1529">
        <w:rPr>
          <w:rStyle w:val="FootnoteReference"/>
          <w:sz w:val="18"/>
          <w:szCs w:val="18"/>
        </w:rPr>
        <w:footnoteReference w:id="5"/>
      </w:r>
      <w:r w:rsidRPr="009C1529">
        <w:rPr>
          <w:sz w:val="18"/>
          <w:szCs w:val="18"/>
        </w:rPr>
        <w:t xml:space="preserve"> incompatible with the principle of effective judicial protection</w:t>
      </w:r>
      <w:r w:rsidRPr="009C1529">
        <w:rPr>
          <w:rStyle w:val="FootnoteReference"/>
          <w:sz w:val="18"/>
          <w:szCs w:val="18"/>
        </w:rPr>
        <w:footnoteReference w:id="6"/>
      </w:r>
      <w:r w:rsidRPr="009C1529">
        <w:rPr>
          <w:sz w:val="18"/>
          <w:szCs w:val="18"/>
        </w:rPr>
        <w:t xml:space="preserve">. </w:t>
      </w:r>
    </w:p>
    <w:p w14:paraId="64F8FE6C" w14:textId="77777777" w:rsidR="00BA0614" w:rsidRPr="00023A6C" w:rsidRDefault="00BA0614" w:rsidP="00BA0614">
      <w:pPr>
        <w:pStyle w:val="ListParagraph"/>
        <w:numPr>
          <w:ilvl w:val="0"/>
          <w:numId w:val="15"/>
        </w:numPr>
        <w:spacing w:line="276" w:lineRule="auto"/>
        <w:rPr>
          <w:rFonts w:ascii="Verdana" w:eastAsia="Times New Roman" w:hAnsi="Verdana" w:cs="Times New Roman"/>
          <w:sz w:val="18"/>
          <w:szCs w:val="18"/>
          <w:lang w:val="en-GB" w:eastAsia="en-GB"/>
        </w:rPr>
      </w:pPr>
      <w:r w:rsidRPr="00023A6C">
        <w:rPr>
          <w:rFonts w:ascii="Verdana" w:eastAsia="Times New Roman" w:hAnsi="Verdana" w:cs="Times New Roman"/>
          <w:sz w:val="18"/>
          <w:szCs w:val="18"/>
          <w:lang w:val="en-GB" w:eastAsia="en-GB"/>
        </w:rPr>
        <w:lastRenderedPageBreak/>
        <w:t>Publication of court decisions on Electronic Board, thus disclosure of personal data</w:t>
      </w:r>
    </w:p>
    <w:p w14:paraId="3F455D03" w14:textId="77777777" w:rsidR="00BA0614" w:rsidRDefault="00BA0614" w:rsidP="00BA0614">
      <w:pPr>
        <w:spacing w:line="276" w:lineRule="auto"/>
        <w:rPr>
          <w:lang w:val="en-GB"/>
        </w:rPr>
      </w:pPr>
    </w:p>
    <w:p w14:paraId="630E0585" w14:textId="77777777" w:rsidR="00BA0614" w:rsidRDefault="00BA0614" w:rsidP="00BA0614">
      <w:pPr>
        <w:spacing w:line="276" w:lineRule="auto"/>
        <w:jc w:val="both"/>
        <w:rPr>
          <w:rFonts w:ascii="Verdana" w:eastAsia="Times New Roman" w:hAnsi="Verdana" w:cs="Times New Roman"/>
          <w:sz w:val="18"/>
          <w:szCs w:val="18"/>
          <w:lang w:val="en-GB" w:eastAsia="en-GB"/>
        </w:rPr>
      </w:pPr>
      <w:r w:rsidRPr="00D0508C">
        <w:rPr>
          <w:rFonts w:ascii="Verdana" w:eastAsia="Times New Roman" w:hAnsi="Verdana" w:cs="Times New Roman"/>
          <w:sz w:val="18"/>
          <w:szCs w:val="18"/>
          <w:lang w:val="en-GB" w:eastAsia="en-GB"/>
        </w:rPr>
        <w:t>Further c</w:t>
      </w:r>
      <w:r>
        <w:rPr>
          <w:rFonts w:ascii="Verdana" w:eastAsia="Times New Roman" w:hAnsi="Verdana" w:cs="Times New Roman"/>
          <w:sz w:val="18"/>
          <w:szCs w:val="18"/>
          <w:lang w:val="en-GB" w:eastAsia="en-GB"/>
        </w:rPr>
        <w:t>onsideration</w:t>
      </w:r>
      <w:r w:rsidRPr="00D0508C">
        <w:rPr>
          <w:rFonts w:ascii="Verdana" w:eastAsia="Times New Roman" w:hAnsi="Verdana" w:cs="Times New Roman"/>
          <w:sz w:val="18"/>
          <w:szCs w:val="18"/>
          <w:lang w:val="en-GB" w:eastAsia="en-GB"/>
        </w:rPr>
        <w:t xml:space="preserve"> is needed on the possibility to reform the delivery of judgments and the enforcement procedure</w:t>
      </w:r>
      <w:r>
        <w:rPr>
          <w:rFonts w:ascii="Verdana" w:eastAsia="Times New Roman" w:hAnsi="Verdana" w:cs="Times New Roman"/>
          <w:sz w:val="18"/>
          <w:szCs w:val="18"/>
          <w:lang w:val="en-GB" w:eastAsia="en-GB"/>
        </w:rPr>
        <w:t>,</w:t>
      </w:r>
      <w:r w:rsidRPr="00D0508C">
        <w:rPr>
          <w:rFonts w:ascii="Verdana" w:eastAsia="Times New Roman" w:hAnsi="Verdana" w:cs="Times New Roman"/>
          <w:sz w:val="18"/>
          <w:szCs w:val="18"/>
          <w:lang w:val="en-GB" w:eastAsia="en-GB"/>
        </w:rPr>
        <w:t xml:space="preserve"> </w:t>
      </w:r>
      <w:r>
        <w:rPr>
          <w:rFonts w:ascii="Verdana" w:eastAsia="Times New Roman" w:hAnsi="Verdana" w:cs="Times New Roman"/>
          <w:sz w:val="18"/>
          <w:szCs w:val="18"/>
          <w:lang w:val="en-GB" w:eastAsia="en-GB"/>
        </w:rPr>
        <w:t>partly</w:t>
      </w:r>
      <w:r w:rsidRPr="00D0508C">
        <w:rPr>
          <w:rFonts w:ascii="Verdana" w:eastAsia="Times New Roman" w:hAnsi="Verdana" w:cs="Times New Roman"/>
          <w:sz w:val="18"/>
          <w:szCs w:val="18"/>
          <w:lang w:val="en-GB" w:eastAsia="en-GB"/>
        </w:rPr>
        <w:t xml:space="preserve"> concerning the Electronic Board. The publ</w:t>
      </w:r>
      <w:r>
        <w:rPr>
          <w:rFonts w:ascii="Verdana" w:eastAsia="Times New Roman" w:hAnsi="Verdana" w:cs="Times New Roman"/>
          <w:sz w:val="18"/>
          <w:szCs w:val="18"/>
          <w:lang w:val="en-GB" w:eastAsia="en-GB"/>
        </w:rPr>
        <w:t>ication</w:t>
      </w:r>
      <w:r w:rsidRPr="00D0508C">
        <w:rPr>
          <w:rFonts w:ascii="Verdana" w:eastAsia="Times New Roman" w:hAnsi="Verdana" w:cs="Times New Roman"/>
          <w:sz w:val="18"/>
          <w:szCs w:val="18"/>
          <w:lang w:val="en-GB" w:eastAsia="en-GB"/>
        </w:rPr>
        <w:t xml:space="preserve"> of court decisions on Electronic Board, as part of the “public pronouncement” in line with the law on enforcement procedure, replaces the existing physical notice boards in the courts with an electronic notice. The procedure is used to comply with the delivery requirements in cases where parties do not show up for the pronouncement. However, the decisions on the Electronic Board are not anonymised</w:t>
      </w:r>
      <w:r>
        <w:rPr>
          <w:rFonts w:ascii="Verdana" w:eastAsia="Times New Roman" w:hAnsi="Verdana" w:cs="Times New Roman"/>
          <w:sz w:val="18"/>
          <w:szCs w:val="18"/>
          <w:lang w:val="en-GB" w:eastAsia="en-GB"/>
        </w:rPr>
        <w:t xml:space="preserve"> which contradicts the ongoing anonymisation efforts to</w:t>
      </w:r>
      <w:r w:rsidRPr="00805499">
        <w:rPr>
          <w:rFonts w:ascii="Verdana" w:eastAsia="Times New Roman" w:hAnsi="Verdana" w:cs="Times New Roman"/>
          <w:sz w:val="18"/>
          <w:szCs w:val="18"/>
          <w:lang w:val="en-GB" w:eastAsia="en-GB"/>
        </w:rPr>
        <w:t xml:space="preserve"> increase the publication of first and second instance court judgments, which remains very limited</w:t>
      </w:r>
      <w:r>
        <w:rPr>
          <w:rStyle w:val="FootnoteReference"/>
          <w:rFonts w:ascii="Verdana" w:eastAsia="Times New Roman" w:hAnsi="Verdana" w:cs="Times New Roman"/>
          <w:sz w:val="18"/>
          <w:szCs w:val="18"/>
          <w:lang w:val="en-GB" w:eastAsia="en-GB"/>
        </w:rPr>
        <w:footnoteReference w:id="7"/>
      </w:r>
      <w:r>
        <w:rPr>
          <w:rFonts w:ascii="Verdana" w:eastAsia="Times New Roman" w:hAnsi="Verdana" w:cs="Times New Roman"/>
          <w:sz w:val="18"/>
          <w:szCs w:val="18"/>
          <w:lang w:val="en-GB" w:eastAsia="en-GB"/>
        </w:rPr>
        <w:t>.</w:t>
      </w:r>
      <w:r w:rsidRPr="00805499">
        <w:rPr>
          <w:rFonts w:ascii="Verdana" w:eastAsia="Times New Roman" w:hAnsi="Verdana" w:cs="Times New Roman"/>
          <w:sz w:val="18"/>
          <w:szCs w:val="18"/>
          <w:lang w:val="en-GB" w:eastAsia="en-GB"/>
        </w:rPr>
        <w:t xml:space="preserve"> The development of an IT solution for automatic and semi-automatic anonymisation, using artificial intelligence, is underway</w:t>
      </w:r>
      <w:r>
        <w:rPr>
          <w:rStyle w:val="FootnoteReference"/>
          <w:rFonts w:ascii="Verdana" w:eastAsia="Times New Roman" w:hAnsi="Verdana" w:cs="Times New Roman"/>
          <w:sz w:val="18"/>
          <w:szCs w:val="18"/>
          <w:lang w:val="en-GB" w:eastAsia="en-GB"/>
        </w:rPr>
        <w:footnoteReference w:id="8"/>
      </w:r>
      <w:r>
        <w:rPr>
          <w:rFonts w:ascii="Verdana" w:eastAsia="Times New Roman" w:hAnsi="Verdana" w:cs="Times New Roman"/>
          <w:sz w:val="18"/>
          <w:szCs w:val="18"/>
          <w:lang w:val="en-GB" w:eastAsia="en-GB"/>
        </w:rPr>
        <w:t>.</w:t>
      </w:r>
    </w:p>
    <w:p w14:paraId="6CA65616" w14:textId="77777777" w:rsidR="00BA0614" w:rsidRPr="00BA0614" w:rsidRDefault="00BA0614">
      <w:pPr>
        <w:rPr>
          <w:rFonts w:cs="Arial"/>
          <w:color w:val="FFFFFF" w:themeColor="background1"/>
          <w:sz w:val="22"/>
          <w:szCs w:val="22"/>
          <w:shd w:val="clear" w:color="auto" w:fill="1F3864" w:themeFill="accent1" w:themeFillShade="80"/>
          <w:lang w:val="en-GB"/>
        </w:rPr>
      </w:pPr>
    </w:p>
    <w:p w14:paraId="738E82B8" w14:textId="77777777" w:rsidR="00BA0614" w:rsidRDefault="00BA0614">
      <w:pPr>
        <w:rPr>
          <w:rFonts w:cs="Arial"/>
          <w:color w:val="FFFFFF" w:themeColor="background1"/>
          <w:sz w:val="22"/>
          <w:szCs w:val="22"/>
          <w:shd w:val="clear" w:color="auto" w:fill="1F3864" w:themeFill="accent1" w:themeFillShade="80"/>
          <w:lang w:val="en-US"/>
        </w:rPr>
      </w:pPr>
    </w:p>
    <w:p w14:paraId="08B764A9" w14:textId="77777777" w:rsidR="008F705F" w:rsidRDefault="008F705F" w:rsidP="008F705F">
      <w:pPr>
        <w:keepNext/>
        <w:spacing w:before="320"/>
        <w:outlineLvl w:val="0"/>
        <w:rPr>
          <w:rFonts w:ascii="Calibri Light" w:eastAsia="Times New Roman" w:hAnsi="Calibri Light" w:cs="Calibri Light"/>
          <w:color w:val="2F5496"/>
          <w:kern w:val="36"/>
          <w:sz w:val="32"/>
          <w:szCs w:val="32"/>
          <w:lang w:val="en-US"/>
        </w:rPr>
      </w:pPr>
      <w:bookmarkStart w:id="1" w:name="_Toc36635832"/>
      <w:r w:rsidRPr="00A37698">
        <w:rPr>
          <w:rFonts w:ascii="Calibri Light" w:eastAsia="Times New Roman" w:hAnsi="Calibri Light" w:cs="Calibri Light"/>
          <w:color w:val="2F5496"/>
          <w:kern w:val="36"/>
          <w:sz w:val="32"/>
          <w:szCs w:val="32"/>
          <w:lang w:val="en-US"/>
        </w:rPr>
        <w:t xml:space="preserve">II </w:t>
      </w:r>
      <w:r w:rsidRPr="008F705F">
        <w:rPr>
          <w:rFonts w:ascii="Calibri Light" w:eastAsia="Times New Roman" w:hAnsi="Calibri Light" w:cs="Calibri Light"/>
          <w:color w:val="2F5496"/>
          <w:kern w:val="36"/>
          <w:sz w:val="32"/>
          <w:szCs w:val="32"/>
          <w:lang w:val="en-US"/>
        </w:rPr>
        <w:t>Anti-corruption framework</w:t>
      </w:r>
      <w:bookmarkEnd w:id="1"/>
      <w:r w:rsidRPr="008F705F">
        <w:rPr>
          <w:rFonts w:ascii="Calibri Light" w:eastAsia="Times New Roman" w:hAnsi="Calibri Light" w:cs="Calibri Light"/>
          <w:color w:val="2F5496"/>
          <w:kern w:val="36"/>
          <w:sz w:val="32"/>
          <w:szCs w:val="32"/>
          <w:lang w:val="en-US"/>
        </w:rPr>
        <w:t xml:space="preserve"> </w:t>
      </w:r>
    </w:p>
    <w:p w14:paraId="5ADBB9CE" w14:textId="77777777" w:rsidR="00A37698" w:rsidRPr="008F705F" w:rsidRDefault="00A37698" w:rsidP="008F705F">
      <w:pPr>
        <w:keepNext/>
        <w:spacing w:before="320"/>
        <w:outlineLvl w:val="0"/>
        <w:rPr>
          <w:rFonts w:ascii="Calibri Light" w:eastAsia="Times New Roman" w:hAnsi="Calibri Light" w:cs="Calibri Light"/>
          <w:color w:val="2F5496"/>
          <w:kern w:val="36"/>
          <w:sz w:val="32"/>
          <w:szCs w:val="32"/>
          <w:lang w:val="en-US"/>
        </w:rPr>
      </w:pPr>
    </w:p>
    <w:p w14:paraId="7B9F5F57" w14:textId="77777777" w:rsidR="00A37698" w:rsidRDefault="00A37698" w:rsidP="00A37698">
      <w:pPr>
        <w:rPr>
          <w:lang w:val="en-US"/>
        </w:rPr>
      </w:pPr>
      <w:r>
        <w:rPr>
          <w:lang w:val="en-US"/>
        </w:rPr>
        <w:t>GRECO (24 June 2024)</w:t>
      </w:r>
    </w:p>
    <w:p w14:paraId="2C1982B2" w14:textId="77777777" w:rsidR="00A37698" w:rsidRDefault="00000000" w:rsidP="00A37698">
      <w:pPr>
        <w:rPr>
          <w:lang w:val="en-US"/>
        </w:rPr>
      </w:pPr>
      <w:hyperlink r:id="rId23" w:history="1">
        <w:r w:rsidR="00A37698" w:rsidRPr="00D41BB6">
          <w:rPr>
            <w:rStyle w:val="Hyperlink"/>
            <w:lang w:val="en-US"/>
          </w:rPr>
          <w:t>Second Compliance Report</w:t>
        </w:r>
      </w:hyperlink>
    </w:p>
    <w:p w14:paraId="69B7AFDE" w14:textId="77777777" w:rsidR="00A37698" w:rsidRDefault="00A37698" w:rsidP="00A37698">
      <w:pPr>
        <w:rPr>
          <w:lang w:val="en-GB"/>
        </w:rPr>
      </w:pPr>
      <w:r w:rsidRPr="00D41BB6">
        <w:rPr>
          <w:lang w:val="en-GB"/>
        </w:rPr>
        <w:t>5</w:t>
      </w:r>
      <w:r w:rsidRPr="00D41BB6">
        <w:rPr>
          <w:vertAlign w:val="superscript"/>
          <w:lang w:val="en-GB"/>
        </w:rPr>
        <w:t>th</w:t>
      </w:r>
      <w:r>
        <w:rPr>
          <w:lang w:val="en-GB"/>
        </w:rPr>
        <w:t xml:space="preserve"> </w:t>
      </w:r>
      <w:r w:rsidRPr="00D41BB6">
        <w:rPr>
          <w:lang w:val="en-GB"/>
        </w:rPr>
        <w:t>round: Preventing corruption and promoting integrity in central governments (top executive functions) and law enforcement agencies</w:t>
      </w:r>
    </w:p>
    <w:p w14:paraId="0C53FA39" w14:textId="77777777" w:rsidR="00B60459" w:rsidRDefault="00B60459" w:rsidP="00A37698">
      <w:pPr>
        <w:rPr>
          <w:lang w:val="en-GB"/>
        </w:rPr>
      </w:pPr>
    </w:p>
    <w:p w14:paraId="4C91EBF8" w14:textId="77777777" w:rsidR="00B60459" w:rsidRPr="00D41BB6" w:rsidRDefault="00B60459" w:rsidP="00A37698">
      <w:pPr>
        <w:rPr>
          <w:lang w:val="en-GB"/>
        </w:rPr>
      </w:pPr>
    </w:p>
    <w:p w14:paraId="2624532F" w14:textId="77777777" w:rsidR="00B60459" w:rsidRDefault="00B60459" w:rsidP="00B60459">
      <w:pPr>
        <w:pStyle w:val="NoSpacing"/>
        <w:rPr>
          <w:lang w:val="en-GB"/>
        </w:rPr>
      </w:pPr>
      <w:r>
        <w:rPr>
          <w:lang w:val="en-GB"/>
        </w:rPr>
        <w:t xml:space="preserve">MONEYVAL </w:t>
      </w:r>
    </w:p>
    <w:p w14:paraId="5A98083E" w14:textId="77777777" w:rsidR="00B60459" w:rsidRDefault="00000000" w:rsidP="00B60459">
      <w:pPr>
        <w:pStyle w:val="NoSpacing"/>
        <w:rPr>
          <w:lang w:val="en-GB"/>
        </w:rPr>
      </w:pPr>
      <w:hyperlink r:id="rId24" w:history="1">
        <w:r w:rsidR="00B60459" w:rsidRPr="00ED5A35">
          <w:rPr>
            <w:rStyle w:val="Hyperlink"/>
            <w:lang w:val="en-GB"/>
          </w:rPr>
          <w:t>1</w:t>
        </w:r>
        <w:r w:rsidR="00B60459" w:rsidRPr="00ED5A35">
          <w:rPr>
            <w:rStyle w:val="Hyperlink"/>
            <w:vertAlign w:val="superscript"/>
            <w:lang w:val="en-GB"/>
          </w:rPr>
          <w:t>st</w:t>
        </w:r>
        <w:r w:rsidR="00B60459" w:rsidRPr="00ED5A35">
          <w:rPr>
            <w:rStyle w:val="Hyperlink"/>
            <w:lang w:val="en-GB"/>
          </w:rPr>
          <w:t xml:space="preserve"> Enhanced Follow-Up Report &amp; Technical Compliance Re-</w:t>
        </w:r>
        <w:r w:rsidR="00B60459">
          <w:rPr>
            <w:rStyle w:val="Hyperlink"/>
            <w:lang w:val="en-GB"/>
          </w:rPr>
          <w:t>R</w:t>
        </w:r>
        <w:r w:rsidR="00B60459" w:rsidRPr="00ED5A35">
          <w:rPr>
            <w:rStyle w:val="Hyperlink"/>
            <w:lang w:val="en-GB"/>
          </w:rPr>
          <w:t>ating</w:t>
        </w:r>
      </w:hyperlink>
      <w:r w:rsidR="00B60459">
        <w:rPr>
          <w:lang w:val="en-GB"/>
        </w:rPr>
        <w:t xml:space="preserve"> (December 2023)</w:t>
      </w:r>
    </w:p>
    <w:p w14:paraId="15810805" w14:textId="77777777" w:rsidR="00B60459" w:rsidRDefault="00000000" w:rsidP="00B60459">
      <w:pPr>
        <w:pStyle w:val="NoSpacing"/>
        <w:rPr>
          <w:lang w:val="en-GB"/>
        </w:rPr>
      </w:pPr>
      <w:hyperlink r:id="rId25" w:history="1">
        <w:r w:rsidR="00B60459" w:rsidRPr="00AE5A3A">
          <w:rPr>
            <w:rStyle w:val="Hyperlink"/>
            <w:lang w:val="en-GB"/>
          </w:rPr>
          <w:t>2</w:t>
        </w:r>
        <w:r w:rsidR="00B60459" w:rsidRPr="00AE5A3A">
          <w:rPr>
            <w:rStyle w:val="Hyperlink"/>
            <w:vertAlign w:val="superscript"/>
            <w:lang w:val="en-GB"/>
          </w:rPr>
          <w:t>nd</w:t>
        </w:r>
        <w:r w:rsidR="00B60459" w:rsidRPr="00AE5A3A">
          <w:rPr>
            <w:rStyle w:val="Hyperlink"/>
            <w:lang w:val="en-GB"/>
          </w:rPr>
          <w:t xml:space="preserve"> Enhanced Follow-Up Report &amp; Technical Compliance Re-Rating</w:t>
        </w:r>
      </w:hyperlink>
      <w:r w:rsidR="00B60459">
        <w:rPr>
          <w:lang w:val="en-GB"/>
        </w:rPr>
        <w:t xml:space="preserve"> (October 2024)</w:t>
      </w:r>
    </w:p>
    <w:p w14:paraId="121D64F6" w14:textId="77777777" w:rsidR="00B60459" w:rsidRDefault="00B60459" w:rsidP="00B60459">
      <w:pPr>
        <w:pStyle w:val="NoSpacing"/>
        <w:rPr>
          <w:lang w:val="en-GB"/>
        </w:rPr>
      </w:pPr>
    </w:p>
    <w:p w14:paraId="0CB6ED3D" w14:textId="77777777" w:rsidR="00B60459" w:rsidRPr="00B60459" w:rsidRDefault="00B60459" w:rsidP="00B60459">
      <w:pPr>
        <w:pStyle w:val="NoSpacing"/>
        <w:rPr>
          <w:lang w:val="it-IT"/>
        </w:rPr>
      </w:pPr>
      <w:r w:rsidRPr="00B60459">
        <w:rPr>
          <w:lang w:val="it-IT"/>
        </w:rPr>
        <w:t xml:space="preserve">COP 198 </w:t>
      </w:r>
    </w:p>
    <w:p w14:paraId="60B7F5A8" w14:textId="77777777" w:rsidR="00B60459" w:rsidRPr="00B60459" w:rsidRDefault="00B60459" w:rsidP="00B60459">
      <w:pPr>
        <w:pStyle w:val="NoSpacing"/>
        <w:rPr>
          <w:lang w:val="it-IT"/>
        </w:rPr>
      </w:pPr>
      <w:r w:rsidRPr="00B60459">
        <w:rPr>
          <w:lang w:val="it-IT"/>
        </w:rPr>
        <w:t xml:space="preserve">N/A </w:t>
      </w:r>
    </w:p>
    <w:p w14:paraId="7E9D4F41" w14:textId="77777777" w:rsidR="008F705F" w:rsidRPr="00B60459" w:rsidRDefault="008F705F" w:rsidP="008F705F">
      <w:pPr>
        <w:keepNext/>
        <w:spacing w:before="320"/>
        <w:outlineLvl w:val="0"/>
        <w:rPr>
          <w:rFonts w:ascii="Calibri Light" w:eastAsia="Times New Roman" w:hAnsi="Calibri Light" w:cs="Calibri Light"/>
          <w:color w:val="2F5496"/>
          <w:kern w:val="36"/>
          <w:sz w:val="32"/>
          <w:szCs w:val="32"/>
          <w:lang w:val="it-IT"/>
        </w:rPr>
      </w:pPr>
    </w:p>
    <w:p w14:paraId="73F662BA" w14:textId="77777777" w:rsidR="008F705F" w:rsidRPr="00B60459" w:rsidRDefault="008F705F" w:rsidP="008F705F">
      <w:pPr>
        <w:keepNext/>
        <w:spacing w:before="320"/>
        <w:outlineLvl w:val="0"/>
        <w:rPr>
          <w:rFonts w:ascii="Calibri Light" w:eastAsia="Times New Roman" w:hAnsi="Calibri Light" w:cs="Calibri Light"/>
          <w:color w:val="2F5496"/>
          <w:kern w:val="36"/>
          <w:sz w:val="32"/>
          <w:szCs w:val="32"/>
          <w:lang w:val="it-IT"/>
        </w:rPr>
      </w:pPr>
    </w:p>
    <w:p w14:paraId="4E366BFC" w14:textId="77777777" w:rsidR="008F705F" w:rsidRPr="00B60459" w:rsidRDefault="008F705F" w:rsidP="008F705F">
      <w:pPr>
        <w:keepNext/>
        <w:spacing w:before="320"/>
        <w:outlineLvl w:val="0"/>
        <w:rPr>
          <w:rFonts w:ascii="Calibri Light" w:eastAsia="Times New Roman" w:hAnsi="Calibri Light" w:cs="Calibri Light"/>
          <w:color w:val="2F5496"/>
          <w:kern w:val="36"/>
          <w:sz w:val="32"/>
          <w:szCs w:val="32"/>
          <w:lang w:val="it-IT"/>
        </w:rPr>
      </w:pPr>
    </w:p>
    <w:p w14:paraId="18D98A7A" w14:textId="77777777" w:rsidR="008F705F" w:rsidRPr="00B60459" w:rsidRDefault="008F705F" w:rsidP="008F705F">
      <w:pPr>
        <w:keepNext/>
        <w:spacing w:before="320"/>
        <w:outlineLvl w:val="0"/>
        <w:rPr>
          <w:rFonts w:ascii="Calibri Light" w:eastAsia="Times New Roman" w:hAnsi="Calibri Light" w:cs="Calibri Light"/>
          <w:color w:val="2F5496"/>
          <w:kern w:val="36"/>
          <w:sz w:val="32"/>
          <w:szCs w:val="32"/>
          <w:lang w:val="it-IT"/>
        </w:rPr>
      </w:pPr>
      <w:bookmarkStart w:id="2" w:name="_Toc36635845"/>
      <w:r w:rsidRPr="00B60459">
        <w:rPr>
          <w:rFonts w:ascii="Calibri Light" w:eastAsia="Times New Roman" w:hAnsi="Calibri Light" w:cs="Calibri Light"/>
          <w:color w:val="2F5496"/>
          <w:kern w:val="36"/>
          <w:sz w:val="32"/>
          <w:szCs w:val="32"/>
          <w:lang w:val="it-IT"/>
        </w:rPr>
        <w:t>III Media pluralism</w:t>
      </w:r>
      <w:bookmarkEnd w:id="2"/>
      <w:r w:rsidRPr="00B60459">
        <w:rPr>
          <w:rFonts w:ascii="Calibri Light" w:eastAsia="Times New Roman" w:hAnsi="Calibri Light" w:cs="Calibri Light"/>
          <w:color w:val="2F5496"/>
          <w:kern w:val="36"/>
          <w:sz w:val="32"/>
          <w:szCs w:val="32"/>
          <w:lang w:val="it-IT"/>
        </w:rPr>
        <w:t xml:space="preserve"> </w:t>
      </w:r>
    </w:p>
    <w:p w14:paraId="6CA21B52" w14:textId="77777777" w:rsidR="008F705F" w:rsidRPr="00B60459" w:rsidRDefault="008F705F" w:rsidP="008F705F">
      <w:pPr>
        <w:keepNext/>
        <w:spacing w:before="320"/>
        <w:outlineLvl w:val="0"/>
        <w:rPr>
          <w:rFonts w:ascii="Calibri Light" w:eastAsia="Times New Roman" w:hAnsi="Calibri Light" w:cs="Calibri Light"/>
          <w:color w:val="2F5496"/>
          <w:kern w:val="36"/>
          <w:sz w:val="32"/>
          <w:szCs w:val="32"/>
          <w:lang w:val="it-IT"/>
        </w:rPr>
      </w:pPr>
    </w:p>
    <w:p w14:paraId="21FF110D" w14:textId="77777777" w:rsidR="008F705F" w:rsidRPr="00B60459" w:rsidRDefault="008F705F" w:rsidP="008F705F">
      <w:pPr>
        <w:keepNext/>
        <w:spacing w:before="320"/>
        <w:outlineLvl w:val="0"/>
        <w:rPr>
          <w:rFonts w:ascii="Calibri Light" w:eastAsia="Times New Roman" w:hAnsi="Calibri Light" w:cs="Calibri Light"/>
          <w:color w:val="2F5496"/>
          <w:kern w:val="36"/>
          <w:sz w:val="32"/>
          <w:szCs w:val="32"/>
          <w:lang w:val="it-IT"/>
        </w:rPr>
      </w:pPr>
    </w:p>
    <w:p w14:paraId="513DE7BA" w14:textId="77777777" w:rsidR="008F705F" w:rsidRPr="008F705F" w:rsidRDefault="008F705F" w:rsidP="008F705F">
      <w:pPr>
        <w:keepNext/>
        <w:spacing w:before="320"/>
        <w:outlineLvl w:val="0"/>
        <w:rPr>
          <w:rFonts w:ascii="Calibri Light" w:eastAsia="Times New Roman" w:hAnsi="Calibri Light" w:cs="Calibri Light"/>
          <w:color w:val="2F5496"/>
          <w:kern w:val="36"/>
          <w:sz w:val="32"/>
          <w:szCs w:val="32"/>
          <w:lang w:val="en-US"/>
        </w:rPr>
      </w:pPr>
      <w:bookmarkStart w:id="3" w:name="_Toc36635858"/>
      <w:r w:rsidRPr="008F705F">
        <w:rPr>
          <w:rFonts w:ascii="Calibri Light" w:eastAsia="Times New Roman" w:hAnsi="Calibri Light" w:cs="Calibri Light"/>
          <w:color w:val="2F5496"/>
          <w:kern w:val="36"/>
          <w:sz w:val="32"/>
          <w:szCs w:val="32"/>
          <w:lang w:val="en-US"/>
        </w:rPr>
        <w:t>IV Other institutional issues related to checks and balances</w:t>
      </w:r>
      <w:bookmarkEnd w:id="3"/>
      <w:r w:rsidRPr="008F705F">
        <w:rPr>
          <w:rFonts w:ascii="Calibri Light" w:eastAsia="Times New Roman" w:hAnsi="Calibri Light" w:cs="Calibri Light"/>
          <w:color w:val="2F5496"/>
          <w:kern w:val="36"/>
          <w:sz w:val="32"/>
          <w:szCs w:val="32"/>
          <w:lang w:val="en-US"/>
        </w:rPr>
        <w:t xml:space="preserve"> </w:t>
      </w:r>
    </w:p>
    <w:p w14:paraId="3A88EFFB" w14:textId="77777777" w:rsidR="008F705F" w:rsidRPr="008B6B20" w:rsidRDefault="008F705F">
      <w:pPr>
        <w:rPr>
          <w:rFonts w:cs="Arial"/>
          <w:color w:val="FFFFFF" w:themeColor="background1"/>
          <w:sz w:val="22"/>
          <w:szCs w:val="22"/>
          <w:shd w:val="clear" w:color="auto" w:fill="1F3864" w:themeFill="accent1" w:themeFillShade="80"/>
          <w:lang w:val="en-US"/>
        </w:rPr>
      </w:pPr>
    </w:p>
    <w:sectPr w:rsidR="008F705F" w:rsidRPr="008B6B20" w:rsidSect="007B3B82">
      <w:footerReference w:type="default" r:id="rId26"/>
      <w:footerReference w:type="firs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5ED0F" w14:textId="77777777" w:rsidR="00A02E10" w:rsidRDefault="00A02E10" w:rsidP="00857FF1">
      <w:r>
        <w:separator/>
      </w:r>
    </w:p>
  </w:endnote>
  <w:endnote w:type="continuationSeparator" w:id="0">
    <w:p w14:paraId="0D124C7F" w14:textId="77777777" w:rsidR="00A02E10" w:rsidRDefault="00A02E10"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8B5BE" w14:textId="77777777" w:rsidR="00A02E10" w:rsidRDefault="00A02E10" w:rsidP="00857FF1">
      <w:r>
        <w:separator/>
      </w:r>
    </w:p>
  </w:footnote>
  <w:footnote w:type="continuationSeparator" w:id="0">
    <w:p w14:paraId="17A3546E" w14:textId="77777777" w:rsidR="00A02E10" w:rsidRDefault="00A02E10" w:rsidP="00857FF1">
      <w:r>
        <w:continuationSeparator/>
      </w:r>
    </w:p>
  </w:footnote>
  <w:footnote w:id="1">
    <w:p w14:paraId="2BF69975" w14:textId="77777777" w:rsidR="00BA0614" w:rsidRPr="00F53FFD" w:rsidRDefault="00BA0614" w:rsidP="00BA0614">
      <w:pPr>
        <w:pStyle w:val="FootnoteText"/>
        <w:rPr>
          <w:sz w:val="16"/>
          <w:szCs w:val="16"/>
          <w:lang w:val="en-GB"/>
        </w:rPr>
      </w:pPr>
      <w:r>
        <w:rPr>
          <w:rStyle w:val="FootnoteReference"/>
        </w:rPr>
        <w:footnoteRef/>
      </w:r>
      <w:r w:rsidRPr="00F53FFD">
        <w:rPr>
          <w:lang w:val="en-GB"/>
        </w:rPr>
        <w:t xml:space="preserve"> </w:t>
      </w:r>
      <w:r w:rsidRPr="00F53FFD">
        <w:rPr>
          <w:rFonts w:cstheme="minorHAnsi"/>
          <w:sz w:val="16"/>
          <w:szCs w:val="16"/>
          <w:lang w:val="en-GB"/>
        </w:rPr>
        <w:t>“24HR0 –</w:t>
      </w:r>
      <w:r w:rsidRPr="00F53FFD">
        <w:rPr>
          <w:sz w:val="16"/>
          <w:szCs w:val="16"/>
          <w:lang w:val="en-GB"/>
        </w:rPr>
        <w:t xml:space="preserve"> </w:t>
      </w:r>
      <w:r w:rsidRPr="00F53FFD">
        <w:rPr>
          <w:rFonts w:cstheme="minorHAnsi"/>
          <w:sz w:val="16"/>
          <w:szCs w:val="16"/>
          <w:lang w:val="en-GB"/>
        </w:rPr>
        <w:t xml:space="preserve">Paperless commercial courts in Croatia” </w:t>
      </w:r>
      <w:hyperlink r:id="rId1" w:history="1">
        <w:r w:rsidRPr="00F53FFD">
          <w:rPr>
            <w:rStyle w:val="Hyperlink"/>
            <w:rFonts w:cstheme="minorHAnsi"/>
            <w:sz w:val="16"/>
            <w:szCs w:val="16"/>
            <w:lang w:val="en-GB"/>
          </w:rPr>
          <w:t>Croatia - Paperless Commercial Courts - Implementation of Human Rights, Justice and Legal Co-Operation Standards</w:t>
        </w:r>
      </w:hyperlink>
    </w:p>
  </w:footnote>
  <w:footnote w:id="2">
    <w:p w14:paraId="2E69E4B0" w14:textId="77777777" w:rsidR="00BA0614" w:rsidRPr="00077FDE" w:rsidRDefault="00BA0614" w:rsidP="00BA0614">
      <w:pPr>
        <w:pStyle w:val="FootnoteText"/>
        <w:jc w:val="both"/>
        <w:rPr>
          <w:rFonts w:cstheme="minorHAnsi"/>
          <w:sz w:val="16"/>
          <w:szCs w:val="16"/>
          <w:lang w:val="en-GB"/>
        </w:rPr>
      </w:pPr>
      <w:r>
        <w:rPr>
          <w:rStyle w:val="FootnoteReference"/>
        </w:rPr>
        <w:footnoteRef/>
      </w:r>
      <w:r w:rsidRPr="00077FDE">
        <w:rPr>
          <w:lang w:val="en-GB"/>
        </w:rPr>
        <w:t xml:space="preserve"> </w:t>
      </w:r>
      <w:r w:rsidRPr="00F53FFD">
        <w:rPr>
          <w:rFonts w:cstheme="minorHAnsi"/>
          <w:sz w:val="16"/>
          <w:szCs w:val="16"/>
          <w:lang w:val="en-GB"/>
        </w:rPr>
        <w:t>Ordinance on e-Communication, The Official Gazette, No 139/2021, 27/2023, 39/2024</w:t>
      </w:r>
    </w:p>
  </w:footnote>
  <w:footnote w:id="3">
    <w:p w14:paraId="2F76FCD8" w14:textId="77777777" w:rsidR="00BA0614" w:rsidRPr="00691E70" w:rsidRDefault="00BA0614" w:rsidP="00BA0614">
      <w:pPr>
        <w:pStyle w:val="FootnoteText"/>
        <w:jc w:val="both"/>
        <w:rPr>
          <w:lang w:val="en-GB"/>
        </w:rPr>
      </w:pPr>
      <w:r>
        <w:rPr>
          <w:rStyle w:val="FootnoteReference"/>
        </w:rPr>
        <w:footnoteRef/>
      </w:r>
      <w:r w:rsidRPr="00691E70">
        <w:rPr>
          <w:lang w:val="en-GB"/>
        </w:rPr>
        <w:t xml:space="preserve"> </w:t>
      </w:r>
      <w:r w:rsidRPr="00CB3C2F">
        <w:rPr>
          <w:sz w:val="16"/>
          <w:szCs w:val="16"/>
          <w:lang w:val="en-GB"/>
        </w:rPr>
        <w:t>“</w:t>
      </w:r>
      <w:r w:rsidRPr="00CB3C2F">
        <w:rPr>
          <w:rFonts w:cstheme="minorHAnsi"/>
          <w:sz w:val="16"/>
          <w:szCs w:val="16"/>
          <w:lang w:val="en-GB"/>
        </w:rPr>
        <w:t>Digital by Default: Optimisation of Efficiency and Quality of Judicial Services and Transparency of Judicial Decisions</w:t>
      </w:r>
      <w:r w:rsidRPr="00CB3C2F">
        <w:rPr>
          <w:sz w:val="16"/>
          <w:szCs w:val="16"/>
          <w:lang w:val="en-GB"/>
        </w:rPr>
        <w:t xml:space="preserve">” </w:t>
      </w:r>
      <w:hyperlink r:id="rId2" w:history="1">
        <w:r w:rsidRPr="00CB3C2F">
          <w:rPr>
            <w:rStyle w:val="Hyperlink"/>
            <w:sz w:val="16"/>
            <w:szCs w:val="16"/>
            <w:lang w:val="en-GB"/>
          </w:rPr>
          <w:t>Digital by Default: Optimisation of Efficiency and Quality of Judicial Services and Transparency of Judicial Decisions - Implementation of Human Rights, Justice and Legal Co-Operation Standards</w:t>
        </w:r>
      </w:hyperlink>
    </w:p>
  </w:footnote>
  <w:footnote w:id="4">
    <w:p w14:paraId="02CEBA32" w14:textId="77777777" w:rsidR="00BA0614" w:rsidRPr="00F53FFD" w:rsidRDefault="00BA0614" w:rsidP="00BA0614">
      <w:pPr>
        <w:pStyle w:val="FootnoteText"/>
        <w:rPr>
          <w:sz w:val="16"/>
          <w:szCs w:val="16"/>
          <w:lang w:val="en-GB"/>
        </w:rPr>
      </w:pPr>
      <w:r w:rsidRPr="00F53FFD">
        <w:rPr>
          <w:rStyle w:val="FootnoteReference"/>
          <w:sz w:val="16"/>
          <w:szCs w:val="16"/>
        </w:rPr>
        <w:footnoteRef/>
      </w:r>
      <w:r w:rsidRPr="00F53FFD">
        <w:rPr>
          <w:sz w:val="16"/>
          <w:szCs w:val="16"/>
          <w:lang w:val="en-GB"/>
        </w:rPr>
        <w:t xml:space="preserve"> </w:t>
      </w:r>
      <w:r w:rsidRPr="00F53FFD">
        <w:rPr>
          <w:sz w:val="16"/>
          <w:szCs w:val="16"/>
          <w:lang w:val="en-US"/>
        </w:rPr>
        <w:t xml:space="preserve"> 2024 EU Justice Scoreboard, Figures 1-9 and 13-15, </w:t>
      </w:r>
      <w:hyperlink r:id="rId3" w:history="1">
        <w:r w:rsidRPr="00F53FFD">
          <w:rPr>
            <w:rStyle w:val="Hyperlink"/>
            <w:sz w:val="16"/>
            <w:szCs w:val="16"/>
            <w:lang w:val="en-US"/>
          </w:rPr>
          <w:t>2024 EU Justice Scoreboard | European Commission (europa.eu)</w:t>
        </w:r>
      </w:hyperlink>
    </w:p>
  </w:footnote>
  <w:footnote w:id="5">
    <w:p w14:paraId="4FC9CDD4" w14:textId="77777777" w:rsidR="00BA0614" w:rsidRPr="00452D6D" w:rsidRDefault="00BA0614" w:rsidP="00BA0614">
      <w:pPr>
        <w:pStyle w:val="FootnoteText"/>
        <w:rPr>
          <w:sz w:val="16"/>
          <w:szCs w:val="16"/>
          <w:lang w:val="en-GB"/>
        </w:rPr>
      </w:pPr>
      <w:r w:rsidRPr="00F53FFD">
        <w:rPr>
          <w:rStyle w:val="FootnoteReference"/>
          <w:sz w:val="16"/>
          <w:szCs w:val="16"/>
        </w:rPr>
        <w:footnoteRef/>
      </w:r>
      <w:r w:rsidRPr="00F53FFD">
        <w:rPr>
          <w:sz w:val="16"/>
          <w:szCs w:val="16"/>
          <w:lang w:val="en-GB"/>
        </w:rPr>
        <w:t xml:space="preserve"> </w:t>
      </w:r>
      <w:r w:rsidRPr="00452D6D">
        <w:rPr>
          <w:sz w:val="16"/>
          <w:szCs w:val="16"/>
          <w:lang w:val="en-US"/>
        </w:rPr>
        <w:t>Judgement of the European Court of Justice dated 11th July 2024 in Joined Cases Hann-Invest et al, C-554/21. et al.</w:t>
      </w:r>
    </w:p>
  </w:footnote>
  <w:footnote w:id="6">
    <w:p w14:paraId="0BEA2AAB" w14:textId="77777777" w:rsidR="00BA0614" w:rsidRPr="00422356" w:rsidRDefault="00BA0614" w:rsidP="00BA0614">
      <w:pPr>
        <w:pStyle w:val="FootnoteText"/>
        <w:rPr>
          <w:lang w:val="en-US"/>
        </w:rPr>
      </w:pPr>
      <w:r w:rsidRPr="00452D6D">
        <w:rPr>
          <w:rStyle w:val="FootnoteReference"/>
          <w:sz w:val="16"/>
          <w:szCs w:val="16"/>
        </w:rPr>
        <w:footnoteRef/>
      </w:r>
      <w:r w:rsidRPr="00452D6D">
        <w:rPr>
          <w:sz w:val="16"/>
          <w:szCs w:val="16"/>
          <w:lang w:val="en-GB"/>
        </w:rPr>
        <w:t xml:space="preserve"> </w:t>
      </w:r>
      <w:r w:rsidRPr="00452D6D">
        <w:rPr>
          <w:sz w:val="16"/>
          <w:szCs w:val="16"/>
          <w:lang w:val="en-US"/>
        </w:rPr>
        <w:t>The principle of effective judicial protection is enshrined in the Treaty on European Union and the Charter of Fundamental Rights of the European Union.</w:t>
      </w:r>
    </w:p>
  </w:footnote>
  <w:footnote w:id="7">
    <w:p w14:paraId="317394C6" w14:textId="77777777" w:rsidR="00BA0614" w:rsidRDefault="00BA0614" w:rsidP="00BA0614">
      <w:pPr>
        <w:pStyle w:val="FootnoteText"/>
        <w:jc w:val="both"/>
        <w:rPr>
          <w:sz w:val="16"/>
          <w:szCs w:val="16"/>
          <w:lang w:val="en-GB"/>
        </w:rPr>
      </w:pPr>
      <w:r>
        <w:rPr>
          <w:rStyle w:val="FootnoteReference"/>
        </w:rPr>
        <w:footnoteRef/>
      </w:r>
      <w:r w:rsidRPr="00E40802">
        <w:rPr>
          <w:lang w:val="en-GB"/>
        </w:rPr>
        <w:t xml:space="preserve"> </w:t>
      </w:r>
      <w:r w:rsidRPr="00805499">
        <w:rPr>
          <w:sz w:val="16"/>
          <w:szCs w:val="16"/>
          <w:lang w:val="en-US"/>
        </w:rPr>
        <w:t>Figure 49, 2024 EU Justice Scoreboard.</w:t>
      </w:r>
      <w:r w:rsidRPr="00E40802">
        <w:rPr>
          <w:sz w:val="16"/>
          <w:szCs w:val="16"/>
          <w:lang w:val="en-GB"/>
        </w:rPr>
        <w:t xml:space="preserve"> </w:t>
      </w:r>
    </w:p>
    <w:p w14:paraId="3A1F41AD" w14:textId="77777777" w:rsidR="00BA0614" w:rsidRPr="00805499" w:rsidRDefault="00BA0614" w:rsidP="00BA0614">
      <w:pPr>
        <w:pStyle w:val="FootnoteText"/>
        <w:jc w:val="both"/>
        <w:rPr>
          <w:lang w:val="en-GB"/>
        </w:rPr>
      </w:pPr>
      <w:r>
        <w:rPr>
          <w:sz w:val="16"/>
          <w:szCs w:val="16"/>
          <w:lang w:val="en-GB"/>
        </w:rPr>
        <w:t>Further, o</w:t>
      </w:r>
      <w:r w:rsidRPr="00E40802">
        <w:rPr>
          <w:sz w:val="16"/>
          <w:szCs w:val="16"/>
          <w:lang w:val="en-GB"/>
        </w:rPr>
        <w:t xml:space="preserve">n 14 March 2024 </w:t>
      </w:r>
      <w:r>
        <w:rPr>
          <w:sz w:val="16"/>
          <w:szCs w:val="16"/>
          <w:lang w:val="en-GB"/>
        </w:rPr>
        <w:t xml:space="preserve">the </w:t>
      </w:r>
      <w:r w:rsidRPr="00E40802">
        <w:rPr>
          <w:sz w:val="16"/>
          <w:szCs w:val="16"/>
          <w:lang w:val="en-GB"/>
        </w:rPr>
        <w:t>Parliament adopted amendments to the Law on Courts, which provide for the obligation to publish all court decisions on a special website with prior anonymisation, to ensure compliance with the rules on the protection of personal dat</w:t>
      </w:r>
      <w:r>
        <w:rPr>
          <w:sz w:val="16"/>
          <w:szCs w:val="16"/>
          <w:lang w:val="en-GB"/>
        </w:rPr>
        <w:t>a.</w:t>
      </w:r>
    </w:p>
  </w:footnote>
  <w:footnote w:id="8">
    <w:p w14:paraId="5C276A34" w14:textId="77777777" w:rsidR="00BA0614" w:rsidRPr="00C64294" w:rsidRDefault="00BA0614" w:rsidP="00BA0614">
      <w:pPr>
        <w:pStyle w:val="FootnoteText"/>
        <w:jc w:val="both"/>
        <w:rPr>
          <w:lang w:val="en-GB"/>
        </w:rPr>
      </w:pPr>
      <w:r>
        <w:rPr>
          <w:rStyle w:val="FootnoteReference"/>
        </w:rPr>
        <w:footnoteRef/>
      </w:r>
      <w:r w:rsidRPr="00C64294">
        <w:rPr>
          <w:lang w:val="en-GB"/>
        </w:rPr>
        <w:t xml:space="preserve"> </w:t>
      </w:r>
      <w:r w:rsidRPr="00C64294">
        <w:rPr>
          <w:sz w:val="16"/>
          <w:szCs w:val="16"/>
          <w:lang w:val="en-US"/>
        </w:rPr>
        <w:t xml:space="preserve">Input from Croatia for the 2024 Rule of Law Report, p. 8. Publication of new judgments is planned for January 2025, while the already published and </w:t>
      </w:r>
      <w:proofErr w:type="spellStart"/>
      <w:r w:rsidRPr="00C64294">
        <w:rPr>
          <w:sz w:val="16"/>
          <w:szCs w:val="16"/>
          <w:lang w:val="en-US"/>
        </w:rPr>
        <w:t>anonymised</w:t>
      </w:r>
      <w:proofErr w:type="spellEnd"/>
      <w:r w:rsidRPr="00C64294">
        <w:rPr>
          <w:sz w:val="16"/>
          <w:szCs w:val="16"/>
          <w:lang w:val="en-US"/>
        </w:rPr>
        <w:t xml:space="preserve"> judgments will be transferred. Written contribution from the Ministry of Justice and Public Administration in the context of the country visit to Croatia.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76B68"/>
    <w:multiLevelType w:val="hybridMultilevel"/>
    <w:tmpl w:val="240C69B2"/>
    <w:lvl w:ilvl="0" w:tplc="29F4D8F8">
      <w:start w:val="1"/>
      <w:numFmt w:val="decimal"/>
      <w:lvlText w:val="%1."/>
      <w:lvlJc w:val="left"/>
      <w:pPr>
        <w:ind w:left="720" w:hanging="360"/>
      </w:pPr>
    </w:lvl>
    <w:lvl w:ilvl="1" w:tplc="5F9682A0">
      <w:start w:val="1"/>
      <w:numFmt w:val="lowerLetter"/>
      <w:lvlText w:val="%2."/>
      <w:lvlJc w:val="left"/>
      <w:pPr>
        <w:ind w:left="1440" w:hanging="360"/>
      </w:pPr>
    </w:lvl>
    <w:lvl w:ilvl="2" w:tplc="C7220158">
      <w:start w:val="1"/>
      <w:numFmt w:val="lowerRoman"/>
      <w:lvlText w:val="%3."/>
      <w:lvlJc w:val="right"/>
      <w:pPr>
        <w:ind w:left="2160" w:hanging="180"/>
      </w:pPr>
    </w:lvl>
    <w:lvl w:ilvl="3" w:tplc="DF068E62">
      <w:start w:val="1"/>
      <w:numFmt w:val="decimal"/>
      <w:lvlText w:val="%4."/>
      <w:lvlJc w:val="left"/>
      <w:pPr>
        <w:ind w:left="2880" w:hanging="360"/>
      </w:pPr>
    </w:lvl>
    <w:lvl w:ilvl="4" w:tplc="BF00FA22">
      <w:start w:val="1"/>
      <w:numFmt w:val="lowerLetter"/>
      <w:lvlText w:val="%5."/>
      <w:lvlJc w:val="left"/>
      <w:pPr>
        <w:ind w:left="3600" w:hanging="360"/>
      </w:pPr>
    </w:lvl>
    <w:lvl w:ilvl="5" w:tplc="902E99CE">
      <w:start w:val="1"/>
      <w:numFmt w:val="lowerRoman"/>
      <w:lvlText w:val="%6."/>
      <w:lvlJc w:val="right"/>
      <w:pPr>
        <w:ind w:left="4320" w:hanging="180"/>
      </w:pPr>
    </w:lvl>
    <w:lvl w:ilvl="6" w:tplc="2472ABDA">
      <w:start w:val="1"/>
      <w:numFmt w:val="decimal"/>
      <w:lvlText w:val="%7."/>
      <w:lvlJc w:val="left"/>
      <w:pPr>
        <w:ind w:left="5040" w:hanging="360"/>
      </w:pPr>
    </w:lvl>
    <w:lvl w:ilvl="7" w:tplc="5B703CC4">
      <w:start w:val="1"/>
      <w:numFmt w:val="lowerLetter"/>
      <w:lvlText w:val="%8."/>
      <w:lvlJc w:val="left"/>
      <w:pPr>
        <w:ind w:left="5760" w:hanging="360"/>
      </w:pPr>
    </w:lvl>
    <w:lvl w:ilvl="8" w:tplc="8556AECE">
      <w:start w:val="1"/>
      <w:numFmt w:val="lowerRoman"/>
      <w:lvlText w:val="%9."/>
      <w:lvlJc w:val="right"/>
      <w:pPr>
        <w:ind w:left="6480" w:hanging="180"/>
      </w:pPr>
    </w:lvl>
  </w:abstractNum>
  <w:abstractNum w:abstractNumId="1"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5" w15:restartNumberingAfterBreak="0">
    <w:nsid w:val="1264449C"/>
    <w:multiLevelType w:val="hybridMultilevel"/>
    <w:tmpl w:val="B17455EA"/>
    <w:lvl w:ilvl="0" w:tplc="040C0015">
      <w:start w:val="1"/>
      <w:numFmt w:val="upp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7355E60"/>
    <w:multiLevelType w:val="hybridMultilevel"/>
    <w:tmpl w:val="BB0AF65A"/>
    <w:lvl w:ilvl="0" w:tplc="0638FA1C">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0D0FDDC"/>
    <w:multiLevelType w:val="hybridMultilevel"/>
    <w:tmpl w:val="AA8070FA"/>
    <w:lvl w:ilvl="0" w:tplc="AD40F93A">
      <w:start w:val="1"/>
      <w:numFmt w:val="bullet"/>
      <w:lvlText w:val=""/>
      <w:lvlJc w:val="left"/>
      <w:pPr>
        <w:ind w:left="720" w:hanging="360"/>
      </w:pPr>
      <w:rPr>
        <w:rFonts w:ascii="Symbol" w:hAnsi="Symbol" w:hint="default"/>
      </w:rPr>
    </w:lvl>
    <w:lvl w:ilvl="1" w:tplc="CA9C5A36">
      <w:start w:val="1"/>
      <w:numFmt w:val="bullet"/>
      <w:lvlText w:val="o"/>
      <w:lvlJc w:val="left"/>
      <w:pPr>
        <w:ind w:left="1440" w:hanging="360"/>
      </w:pPr>
      <w:rPr>
        <w:rFonts w:ascii="Courier New" w:hAnsi="Courier New" w:hint="default"/>
      </w:rPr>
    </w:lvl>
    <w:lvl w:ilvl="2" w:tplc="42FACC38">
      <w:start w:val="1"/>
      <w:numFmt w:val="bullet"/>
      <w:lvlText w:val=""/>
      <w:lvlJc w:val="left"/>
      <w:pPr>
        <w:ind w:left="2160" w:hanging="360"/>
      </w:pPr>
      <w:rPr>
        <w:rFonts w:ascii="Wingdings" w:hAnsi="Wingdings" w:hint="default"/>
      </w:rPr>
    </w:lvl>
    <w:lvl w:ilvl="3" w:tplc="1A929928">
      <w:start w:val="1"/>
      <w:numFmt w:val="bullet"/>
      <w:lvlText w:val=""/>
      <w:lvlJc w:val="left"/>
      <w:pPr>
        <w:ind w:left="2880" w:hanging="360"/>
      </w:pPr>
      <w:rPr>
        <w:rFonts w:ascii="Symbol" w:hAnsi="Symbol" w:hint="default"/>
      </w:rPr>
    </w:lvl>
    <w:lvl w:ilvl="4" w:tplc="2B2EE9FC">
      <w:start w:val="1"/>
      <w:numFmt w:val="bullet"/>
      <w:lvlText w:val="o"/>
      <w:lvlJc w:val="left"/>
      <w:pPr>
        <w:ind w:left="3600" w:hanging="360"/>
      </w:pPr>
      <w:rPr>
        <w:rFonts w:ascii="Courier New" w:hAnsi="Courier New" w:hint="default"/>
      </w:rPr>
    </w:lvl>
    <w:lvl w:ilvl="5" w:tplc="2E9CA402">
      <w:start w:val="1"/>
      <w:numFmt w:val="bullet"/>
      <w:lvlText w:val=""/>
      <w:lvlJc w:val="left"/>
      <w:pPr>
        <w:ind w:left="4320" w:hanging="360"/>
      </w:pPr>
      <w:rPr>
        <w:rFonts w:ascii="Wingdings" w:hAnsi="Wingdings" w:hint="default"/>
      </w:rPr>
    </w:lvl>
    <w:lvl w:ilvl="6" w:tplc="9250A65C">
      <w:start w:val="1"/>
      <w:numFmt w:val="bullet"/>
      <w:lvlText w:val=""/>
      <w:lvlJc w:val="left"/>
      <w:pPr>
        <w:ind w:left="5040" w:hanging="360"/>
      </w:pPr>
      <w:rPr>
        <w:rFonts w:ascii="Symbol" w:hAnsi="Symbol" w:hint="default"/>
      </w:rPr>
    </w:lvl>
    <w:lvl w:ilvl="7" w:tplc="8A14C86A">
      <w:start w:val="1"/>
      <w:numFmt w:val="bullet"/>
      <w:lvlText w:val="o"/>
      <w:lvlJc w:val="left"/>
      <w:pPr>
        <w:ind w:left="5760" w:hanging="360"/>
      </w:pPr>
      <w:rPr>
        <w:rFonts w:ascii="Courier New" w:hAnsi="Courier New" w:hint="default"/>
      </w:rPr>
    </w:lvl>
    <w:lvl w:ilvl="8" w:tplc="20E43DE4">
      <w:start w:val="1"/>
      <w:numFmt w:val="bullet"/>
      <w:lvlText w:val=""/>
      <w:lvlJc w:val="left"/>
      <w:pPr>
        <w:ind w:left="6480" w:hanging="360"/>
      </w:pPr>
      <w:rPr>
        <w:rFonts w:ascii="Wingdings" w:hAnsi="Wingdings" w:hint="default"/>
      </w:rPr>
    </w:lvl>
  </w:abstractNum>
  <w:abstractNum w:abstractNumId="12" w15:restartNumberingAfterBreak="0">
    <w:nsid w:val="688635BE"/>
    <w:multiLevelType w:val="hybridMultilevel"/>
    <w:tmpl w:val="28AA6E66"/>
    <w:lvl w:ilvl="0" w:tplc="65DAD306">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E353E23"/>
    <w:multiLevelType w:val="hybridMultilevel"/>
    <w:tmpl w:val="F8EAC85E"/>
    <w:lvl w:ilvl="0" w:tplc="ECDA06B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56888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3220263">
    <w:abstractNumId w:val="3"/>
  </w:num>
  <w:num w:numId="3" w16cid:durableId="1419709812">
    <w:abstractNumId w:val="6"/>
  </w:num>
  <w:num w:numId="4" w16cid:durableId="535509000">
    <w:abstractNumId w:val="4"/>
  </w:num>
  <w:num w:numId="5" w16cid:durableId="189495804">
    <w:abstractNumId w:val="10"/>
  </w:num>
  <w:num w:numId="6" w16cid:durableId="2070767956">
    <w:abstractNumId w:val="5"/>
  </w:num>
  <w:num w:numId="7" w16cid:durableId="1484002443">
    <w:abstractNumId w:val="8"/>
  </w:num>
  <w:num w:numId="8" w16cid:durableId="1293099640">
    <w:abstractNumId w:val="8"/>
  </w:num>
  <w:num w:numId="9" w16cid:durableId="196361223">
    <w:abstractNumId w:val="2"/>
  </w:num>
  <w:num w:numId="10" w16cid:durableId="1182088185">
    <w:abstractNumId w:val="9"/>
  </w:num>
  <w:num w:numId="11" w16cid:durableId="360477782">
    <w:abstractNumId w:val="11"/>
  </w:num>
  <w:num w:numId="12" w16cid:durableId="1540388124">
    <w:abstractNumId w:val="0"/>
  </w:num>
  <w:num w:numId="13" w16cid:durableId="1809857222">
    <w:abstractNumId w:val="13"/>
  </w:num>
  <w:num w:numId="14" w16cid:durableId="296643442">
    <w:abstractNumId w:val="12"/>
  </w:num>
  <w:num w:numId="15" w16cid:durableId="2540490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47A0"/>
    <w:rsid w:val="0002205E"/>
    <w:rsid w:val="000230EA"/>
    <w:rsid w:val="00032B5D"/>
    <w:rsid w:val="00057AA5"/>
    <w:rsid w:val="00062CBC"/>
    <w:rsid w:val="00064AF2"/>
    <w:rsid w:val="000707C5"/>
    <w:rsid w:val="00084C0B"/>
    <w:rsid w:val="00085157"/>
    <w:rsid w:val="00095F4E"/>
    <w:rsid w:val="000A0236"/>
    <w:rsid w:val="000B223F"/>
    <w:rsid w:val="000B4984"/>
    <w:rsid w:val="000C1783"/>
    <w:rsid w:val="000E51C1"/>
    <w:rsid w:val="000F73A4"/>
    <w:rsid w:val="001029E2"/>
    <w:rsid w:val="0011349E"/>
    <w:rsid w:val="00123EAE"/>
    <w:rsid w:val="0012499E"/>
    <w:rsid w:val="001257E8"/>
    <w:rsid w:val="001272D8"/>
    <w:rsid w:val="00152FC1"/>
    <w:rsid w:val="00157DFE"/>
    <w:rsid w:val="001621AD"/>
    <w:rsid w:val="00167680"/>
    <w:rsid w:val="001708DF"/>
    <w:rsid w:val="00172847"/>
    <w:rsid w:val="00184BFB"/>
    <w:rsid w:val="00187CD1"/>
    <w:rsid w:val="00194CC7"/>
    <w:rsid w:val="001A0B36"/>
    <w:rsid w:val="001A0CF1"/>
    <w:rsid w:val="001C77D8"/>
    <w:rsid w:val="001D0AE0"/>
    <w:rsid w:val="001E0EB7"/>
    <w:rsid w:val="002027E7"/>
    <w:rsid w:val="002077C4"/>
    <w:rsid w:val="0021059A"/>
    <w:rsid w:val="002141C1"/>
    <w:rsid w:val="00252DBE"/>
    <w:rsid w:val="00252F46"/>
    <w:rsid w:val="00254902"/>
    <w:rsid w:val="00255C44"/>
    <w:rsid w:val="00263456"/>
    <w:rsid w:val="00265693"/>
    <w:rsid w:val="002665BC"/>
    <w:rsid w:val="00267E73"/>
    <w:rsid w:val="00282225"/>
    <w:rsid w:val="002864ED"/>
    <w:rsid w:val="00287289"/>
    <w:rsid w:val="002911B3"/>
    <w:rsid w:val="002A4E7E"/>
    <w:rsid w:val="002B2FF2"/>
    <w:rsid w:val="002C68B0"/>
    <w:rsid w:val="002D1BBF"/>
    <w:rsid w:val="002D3720"/>
    <w:rsid w:val="002D61AB"/>
    <w:rsid w:val="002E1CA9"/>
    <w:rsid w:val="002E779C"/>
    <w:rsid w:val="003048B6"/>
    <w:rsid w:val="003152F6"/>
    <w:rsid w:val="0033407D"/>
    <w:rsid w:val="00351BFE"/>
    <w:rsid w:val="00354D3F"/>
    <w:rsid w:val="003572C2"/>
    <w:rsid w:val="0036132D"/>
    <w:rsid w:val="00365602"/>
    <w:rsid w:val="0036606F"/>
    <w:rsid w:val="00372B8F"/>
    <w:rsid w:val="00372F92"/>
    <w:rsid w:val="003732BD"/>
    <w:rsid w:val="00380DB3"/>
    <w:rsid w:val="003A5BC3"/>
    <w:rsid w:val="003F0C2C"/>
    <w:rsid w:val="004012A1"/>
    <w:rsid w:val="004013FD"/>
    <w:rsid w:val="00405191"/>
    <w:rsid w:val="00411F51"/>
    <w:rsid w:val="00424436"/>
    <w:rsid w:val="00424AE6"/>
    <w:rsid w:val="00434E92"/>
    <w:rsid w:val="00443197"/>
    <w:rsid w:val="00457269"/>
    <w:rsid w:val="00464735"/>
    <w:rsid w:val="00491D94"/>
    <w:rsid w:val="00496B58"/>
    <w:rsid w:val="004A628B"/>
    <w:rsid w:val="004B2966"/>
    <w:rsid w:val="004B4189"/>
    <w:rsid w:val="004C29C8"/>
    <w:rsid w:val="004C37B3"/>
    <w:rsid w:val="004D4A7E"/>
    <w:rsid w:val="004D4CB4"/>
    <w:rsid w:val="004E1ACA"/>
    <w:rsid w:val="004E3023"/>
    <w:rsid w:val="004E72B6"/>
    <w:rsid w:val="00530EC5"/>
    <w:rsid w:val="0054551A"/>
    <w:rsid w:val="0055002A"/>
    <w:rsid w:val="0056639A"/>
    <w:rsid w:val="0057123C"/>
    <w:rsid w:val="005728A3"/>
    <w:rsid w:val="00573CDC"/>
    <w:rsid w:val="005813CD"/>
    <w:rsid w:val="005837EC"/>
    <w:rsid w:val="00597295"/>
    <w:rsid w:val="005A3425"/>
    <w:rsid w:val="005B2725"/>
    <w:rsid w:val="005B37E9"/>
    <w:rsid w:val="005D4AD7"/>
    <w:rsid w:val="005D7294"/>
    <w:rsid w:val="005E17CB"/>
    <w:rsid w:val="005E1A73"/>
    <w:rsid w:val="005E381E"/>
    <w:rsid w:val="00600E03"/>
    <w:rsid w:val="00602398"/>
    <w:rsid w:val="0061214D"/>
    <w:rsid w:val="00636AF8"/>
    <w:rsid w:val="00647D6B"/>
    <w:rsid w:val="006502C5"/>
    <w:rsid w:val="0065236D"/>
    <w:rsid w:val="0065310F"/>
    <w:rsid w:val="0067332D"/>
    <w:rsid w:val="00680789"/>
    <w:rsid w:val="00683C6A"/>
    <w:rsid w:val="006871F9"/>
    <w:rsid w:val="006952AF"/>
    <w:rsid w:val="0069684E"/>
    <w:rsid w:val="006B6601"/>
    <w:rsid w:val="006C5AF1"/>
    <w:rsid w:val="006C758C"/>
    <w:rsid w:val="006D3771"/>
    <w:rsid w:val="006D695E"/>
    <w:rsid w:val="00702CE9"/>
    <w:rsid w:val="0072453B"/>
    <w:rsid w:val="007323D4"/>
    <w:rsid w:val="00734D8B"/>
    <w:rsid w:val="00742FA8"/>
    <w:rsid w:val="00744D22"/>
    <w:rsid w:val="00756962"/>
    <w:rsid w:val="0076072F"/>
    <w:rsid w:val="0076444E"/>
    <w:rsid w:val="00772288"/>
    <w:rsid w:val="007959C1"/>
    <w:rsid w:val="007A270E"/>
    <w:rsid w:val="007B3B82"/>
    <w:rsid w:val="007D198D"/>
    <w:rsid w:val="007D262D"/>
    <w:rsid w:val="007E2BE3"/>
    <w:rsid w:val="007F2A4E"/>
    <w:rsid w:val="007F352D"/>
    <w:rsid w:val="007F7D67"/>
    <w:rsid w:val="00801024"/>
    <w:rsid w:val="008131ED"/>
    <w:rsid w:val="00833496"/>
    <w:rsid w:val="00840C74"/>
    <w:rsid w:val="00857FF1"/>
    <w:rsid w:val="008617BA"/>
    <w:rsid w:val="00861CFB"/>
    <w:rsid w:val="00877DC2"/>
    <w:rsid w:val="00887319"/>
    <w:rsid w:val="00893779"/>
    <w:rsid w:val="008A6094"/>
    <w:rsid w:val="008B037C"/>
    <w:rsid w:val="008B6B20"/>
    <w:rsid w:val="008C2E4F"/>
    <w:rsid w:val="008C38E9"/>
    <w:rsid w:val="008C51BC"/>
    <w:rsid w:val="008C605D"/>
    <w:rsid w:val="008D124A"/>
    <w:rsid w:val="008D5A29"/>
    <w:rsid w:val="008E1947"/>
    <w:rsid w:val="008F705F"/>
    <w:rsid w:val="0090195D"/>
    <w:rsid w:val="00906927"/>
    <w:rsid w:val="00906B87"/>
    <w:rsid w:val="009522DA"/>
    <w:rsid w:val="00976663"/>
    <w:rsid w:val="009841C3"/>
    <w:rsid w:val="009850FB"/>
    <w:rsid w:val="009854E0"/>
    <w:rsid w:val="00990630"/>
    <w:rsid w:val="009A2638"/>
    <w:rsid w:val="009A43B8"/>
    <w:rsid w:val="009B0401"/>
    <w:rsid w:val="009B7531"/>
    <w:rsid w:val="009C37BA"/>
    <w:rsid w:val="009C3A55"/>
    <w:rsid w:val="009C537B"/>
    <w:rsid w:val="009D5FD8"/>
    <w:rsid w:val="009D68A7"/>
    <w:rsid w:val="009E4C05"/>
    <w:rsid w:val="009F137B"/>
    <w:rsid w:val="00A02E10"/>
    <w:rsid w:val="00A0524A"/>
    <w:rsid w:val="00A36CCA"/>
    <w:rsid w:val="00A37698"/>
    <w:rsid w:val="00A42F38"/>
    <w:rsid w:val="00A43E9B"/>
    <w:rsid w:val="00A476D7"/>
    <w:rsid w:val="00A52988"/>
    <w:rsid w:val="00A53917"/>
    <w:rsid w:val="00A54D19"/>
    <w:rsid w:val="00A70E18"/>
    <w:rsid w:val="00A7220C"/>
    <w:rsid w:val="00A726B1"/>
    <w:rsid w:val="00A745D4"/>
    <w:rsid w:val="00A82B5B"/>
    <w:rsid w:val="00A84BB2"/>
    <w:rsid w:val="00AA1BBD"/>
    <w:rsid w:val="00AA2156"/>
    <w:rsid w:val="00AA476A"/>
    <w:rsid w:val="00AB0698"/>
    <w:rsid w:val="00AB195E"/>
    <w:rsid w:val="00AC541D"/>
    <w:rsid w:val="00AC6FD7"/>
    <w:rsid w:val="00AD3544"/>
    <w:rsid w:val="00AD4A17"/>
    <w:rsid w:val="00AD5BD0"/>
    <w:rsid w:val="00AF2279"/>
    <w:rsid w:val="00AF4B2D"/>
    <w:rsid w:val="00AF5605"/>
    <w:rsid w:val="00B22E3E"/>
    <w:rsid w:val="00B2424D"/>
    <w:rsid w:val="00B35012"/>
    <w:rsid w:val="00B36582"/>
    <w:rsid w:val="00B52587"/>
    <w:rsid w:val="00B60459"/>
    <w:rsid w:val="00B807B6"/>
    <w:rsid w:val="00BA0614"/>
    <w:rsid w:val="00BD211A"/>
    <w:rsid w:val="00BD26EA"/>
    <w:rsid w:val="00BE1EE0"/>
    <w:rsid w:val="00BE2ADB"/>
    <w:rsid w:val="00BF5595"/>
    <w:rsid w:val="00C003A4"/>
    <w:rsid w:val="00C06969"/>
    <w:rsid w:val="00C06D56"/>
    <w:rsid w:val="00C45527"/>
    <w:rsid w:val="00C5444D"/>
    <w:rsid w:val="00C75135"/>
    <w:rsid w:val="00C848FF"/>
    <w:rsid w:val="00C86F4B"/>
    <w:rsid w:val="00CC09C0"/>
    <w:rsid w:val="00CC0E4F"/>
    <w:rsid w:val="00CC5ABF"/>
    <w:rsid w:val="00CD7F9C"/>
    <w:rsid w:val="00CF0660"/>
    <w:rsid w:val="00CF1C6F"/>
    <w:rsid w:val="00D15B02"/>
    <w:rsid w:val="00D20872"/>
    <w:rsid w:val="00D31EA3"/>
    <w:rsid w:val="00D36177"/>
    <w:rsid w:val="00D37016"/>
    <w:rsid w:val="00D447C9"/>
    <w:rsid w:val="00D45CD6"/>
    <w:rsid w:val="00D66D1D"/>
    <w:rsid w:val="00D96E9B"/>
    <w:rsid w:val="00DA55DC"/>
    <w:rsid w:val="00DB1AB7"/>
    <w:rsid w:val="00DC7320"/>
    <w:rsid w:val="00DF19D6"/>
    <w:rsid w:val="00DF7C08"/>
    <w:rsid w:val="00E13798"/>
    <w:rsid w:val="00E147EE"/>
    <w:rsid w:val="00E2087D"/>
    <w:rsid w:val="00E26C9B"/>
    <w:rsid w:val="00E27691"/>
    <w:rsid w:val="00E429AF"/>
    <w:rsid w:val="00E56906"/>
    <w:rsid w:val="00E81708"/>
    <w:rsid w:val="00E90AB0"/>
    <w:rsid w:val="00EA39A6"/>
    <w:rsid w:val="00EC481F"/>
    <w:rsid w:val="00EC74BB"/>
    <w:rsid w:val="00ED1080"/>
    <w:rsid w:val="00ED2EDB"/>
    <w:rsid w:val="00ED7B5B"/>
    <w:rsid w:val="00EE24A2"/>
    <w:rsid w:val="00EF5D3B"/>
    <w:rsid w:val="00F070DD"/>
    <w:rsid w:val="00F3151D"/>
    <w:rsid w:val="00F375C2"/>
    <w:rsid w:val="00F448D1"/>
    <w:rsid w:val="00F5679C"/>
    <w:rsid w:val="00F71177"/>
    <w:rsid w:val="00F7793C"/>
    <w:rsid w:val="00F8213F"/>
    <w:rsid w:val="00F847EB"/>
    <w:rsid w:val="00F91B36"/>
    <w:rsid w:val="00F973E9"/>
    <w:rsid w:val="00FA480D"/>
    <w:rsid w:val="00FB1E22"/>
    <w:rsid w:val="00FC1E1D"/>
    <w:rsid w:val="00FC335B"/>
    <w:rsid w:val="00FE3AC4"/>
    <w:rsid w:val="00FF62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unhideWhenUsed/>
    <w:rsid w:val="00857FF1"/>
    <w:rPr>
      <w:rFonts w:eastAsiaTheme="minorHAnsi"/>
    </w:rPr>
  </w:style>
  <w:style w:type="character" w:customStyle="1" w:styleId="FootnoteTextChar">
    <w:name w:val="Footnote Text Char"/>
    <w:basedOn w:val="DefaultParagraphFont"/>
    <w:link w:val="FootnoteText"/>
    <w:uiPriority w:val="99"/>
    <w:qFormat/>
    <w:rsid w:val="00857FF1"/>
    <w:rPr>
      <w:rFonts w:eastAsiaTheme="minorHAnsi"/>
    </w:rPr>
  </w:style>
  <w:style w:type="character" w:styleId="FootnoteReference">
    <w:name w:val="footnote reference"/>
    <w:basedOn w:val="DefaultParagraphFont"/>
    <w:uiPriority w:val="99"/>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36606F"/>
  </w:style>
  <w:style w:type="character" w:customStyle="1" w:styleId="gray">
    <w:name w:val="gray"/>
    <w:basedOn w:val="DefaultParagraphFont"/>
    <w:rsid w:val="0036606F"/>
  </w:style>
  <w:style w:type="character" w:customStyle="1" w:styleId="apple-converted-space">
    <w:name w:val="apple-converted-space"/>
    <w:basedOn w:val="DefaultParagraphFont"/>
    <w:rsid w:val="00E429AF"/>
  </w:style>
  <w:style w:type="paragraph" w:customStyle="1" w:styleId="COEHI">
    <w:name w:val="COE_HI"/>
    <w:basedOn w:val="Normal"/>
    <w:qFormat/>
    <w:rsid w:val="0076072F"/>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D4CB4"/>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D4CB4"/>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D4CB4"/>
    <w:rPr>
      <w:rFonts w:ascii="Calibri" w:eastAsiaTheme="minorHAnsi" w:hAnsi="Calibri" w:cs="Calibri"/>
      <w:sz w:val="22"/>
      <w:szCs w:val="22"/>
      <w:lang w:eastAsia="fr-FR"/>
    </w:rPr>
  </w:style>
  <w:style w:type="character" w:customStyle="1" w:styleId="docref1">
    <w:name w:val="docref1"/>
    <w:basedOn w:val="DefaultParagraphFont"/>
    <w:rsid w:val="002E1CA9"/>
    <w:rPr>
      <w:b/>
      <w:bCs/>
    </w:rPr>
  </w:style>
  <w:style w:type="paragraph" w:customStyle="1" w:styleId="xxxxxmsonormal">
    <w:name w:val="x_x_x_x_xmsonormal"/>
    <w:basedOn w:val="Normal"/>
    <w:rsid w:val="00EF5D3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0F73A4"/>
    <w:pPr>
      <w:spacing w:before="100" w:beforeAutospacing="1" w:after="100" w:afterAutospacing="1"/>
    </w:pPr>
    <w:rPr>
      <w:rFonts w:ascii="Times New Roman" w:eastAsia="Times New Roman" w:hAnsi="Times New Roman" w:cs="Times New Roman"/>
      <w:sz w:val="24"/>
      <w:szCs w:val="24"/>
      <w:lang w:eastAsia="fr-FR"/>
    </w:rPr>
  </w:style>
  <w:style w:type="character" w:customStyle="1" w:styleId="sbb9ee52a">
    <w:name w:val="sbb9ee52a"/>
    <w:basedOn w:val="DefaultParagraphFont"/>
    <w:rsid w:val="00E2087D"/>
  </w:style>
  <w:style w:type="character" w:customStyle="1" w:styleId="s4b8d41ee">
    <w:name w:val="s4b8d41ee"/>
    <w:basedOn w:val="DefaultParagraphFont"/>
    <w:rsid w:val="00E2087D"/>
  </w:style>
  <w:style w:type="paragraph" w:customStyle="1" w:styleId="Text1">
    <w:name w:val="Text 1"/>
    <w:basedOn w:val="Normal"/>
    <w:link w:val="Text1Char"/>
    <w:qFormat/>
    <w:rsid w:val="00BA0614"/>
    <w:pPr>
      <w:spacing w:after="240"/>
      <w:ind w:left="482"/>
      <w:jc w:val="both"/>
    </w:pPr>
    <w:rPr>
      <w:rFonts w:ascii="Verdana" w:eastAsia="Times New Roman" w:hAnsi="Verdana" w:cs="Times New Roman"/>
      <w:lang w:val="en-GB" w:eastAsia="en-GB"/>
    </w:rPr>
  </w:style>
  <w:style w:type="character" w:customStyle="1" w:styleId="Text1Char">
    <w:name w:val="Text 1 Char"/>
    <w:link w:val="Text1"/>
    <w:rsid w:val="00BA0614"/>
    <w:rPr>
      <w:rFonts w:ascii="Verdana" w:eastAsia="Times New Roman" w:hAnsi="Verdana"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8041">
      <w:bodyDiv w:val="1"/>
      <w:marLeft w:val="0"/>
      <w:marRight w:val="0"/>
      <w:marTop w:val="0"/>
      <w:marBottom w:val="0"/>
      <w:divBdr>
        <w:top w:val="none" w:sz="0" w:space="0" w:color="auto"/>
        <w:left w:val="none" w:sz="0" w:space="0" w:color="auto"/>
        <w:bottom w:val="none" w:sz="0" w:space="0" w:color="auto"/>
        <w:right w:val="none" w:sz="0" w:space="0" w:color="auto"/>
      </w:divBdr>
    </w:div>
    <w:div w:id="64839450">
      <w:bodyDiv w:val="1"/>
      <w:marLeft w:val="0"/>
      <w:marRight w:val="0"/>
      <w:marTop w:val="0"/>
      <w:marBottom w:val="0"/>
      <w:divBdr>
        <w:top w:val="none" w:sz="0" w:space="0" w:color="auto"/>
        <w:left w:val="none" w:sz="0" w:space="0" w:color="auto"/>
        <w:bottom w:val="none" w:sz="0" w:space="0" w:color="auto"/>
        <w:right w:val="none" w:sz="0" w:space="0" w:color="auto"/>
      </w:divBdr>
    </w:div>
    <w:div w:id="71708715">
      <w:bodyDiv w:val="1"/>
      <w:marLeft w:val="0"/>
      <w:marRight w:val="0"/>
      <w:marTop w:val="0"/>
      <w:marBottom w:val="0"/>
      <w:divBdr>
        <w:top w:val="none" w:sz="0" w:space="0" w:color="auto"/>
        <w:left w:val="none" w:sz="0" w:space="0" w:color="auto"/>
        <w:bottom w:val="none" w:sz="0" w:space="0" w:color="auto"/>
        <w:right w:val="none" w:sz="0" w:space="0" w:color="auto"/>
      </w:divBdr>
    </w:div>
    <w:div w:id="124347574">
      <w:bodyDiv w:val="1"/>
      <w:marLeft w:val="0"/>
      <w:marRight w:val="0"/>
      <w:marTop w:val="0"/>
      <w:marBottom w:val="0"/>
      <w:divBdr>
        <w:top w:val="none" w:sz="0" w:space="0" w:color="auto"/>
        <w:left w:val="none" w:sz="0" w:space="0" w:color="auto"/>
        <w:bottom w:val="none" w:sz="0" w:space="0" w:color="auto"/>
        <w:right w:val="none" w:sz="0" w:space="0" w:color="auto"/>
      </w:divBdr>
    </w:div>
    <w:div w:id="218130379">
      <w:bodyDiv w:val="1"/>
      <w:marLeft w:val="0"/>
      <w:marRight w:val="0"/>
      <w:marTop w:val="0"/>
      <w:marBottom w:val="0"/>
      <w:divBdr>
        <w:top w:val="none" w:sz="0" w:space="0" w:color="auto"/>
        <w:left w:val="none" w:sz="0" w:space="0" w:color="auto"/>
        <w:bottom w:val="none" w:sz="0" w:space="0" w:color="auto"/>
        <w:right w:val="none" w:sz="0" w:space="0" w:color="auto"/>
      </w:divBdr>
    </w:div>
    <w:div w:id="313337188">
      <w:bodyDiv w:val="1"/>
      <w:marLeft w:val="0"/>
      <w:marRight w:val="0"/>
      <w:marTop w:val="0"/>
      <w:marBottom w:val="0"/>
      <w:divBdr>
        <w:top w:val="none" w:sz="0" w:space="0" w:color="auto"/>
        <w:left w:val="none" w:sz="0" w:space="0" w:color="auto"/>
        <w:bottom w:val="none" w:sz="0" w:space="0" w:color="auto"/>
        <w:right w:val="none" w:sz="0" w:space="0" w:color="auto"/>
      </w:divBdr>
    </w:div>
    <w:div w:id="523523242">
      <w:bodyDiv w:val="1"/>
      <w:marLeft w:val="0"/>
      <w:marRight w:val="0"/>
      <w:marTop w:val="0"/>
      <w:marBottom w:val="0"/>
      <w:divBdr>
        <w:top w:val="none" w:sz="0" w:space="0" w:color="auto"/>
        <w:left w:val="none" w:sz="0" w:space="0" w:color="auto"/>
        <w:bottom w:val="none" w:sz="0" w:space="0" w:color="auto"/>
        <w:right w:val="none" w:sz="0" w:space="0" w:color="auto"/>
      </w:divBdr>
    </w:div>
    <w:div w:id="538052941">
      <w:bodyDiv w:val="1"/>
      <w:marLeft w:val="0"/>
      <w:marRight w:val="0"/>
      <w:marTop w:val="0"/>
      <w:marBottom w:val="0"/>
      <w:divBdr>
        <w:top w:val="none" w:sz="0" w:space="0" w:color="auto"/>
        <w:left w:val="none" w:sz="0" w:space="0" w:color="auto"/>
        <w:bottom w:val="none" w:sz="0" w:space="0" w:color="auto"/>
        <w:right w:val="none" w:sz="0" w:space="0" w:color="auto"/>
      </w:divBdr>
    </w:div>
    <w:div w:id="578758433">
      <w:bodyDiv w:val="1"/>
      <w:marLeft w:val="0"/>
      <w:marRight w:val="0"/>
      <w:marTop w:val="0"/>
      <w:marBottom w:val="0"/>
      <w:divBdr>
        <w:top w:val="none" w:sz="0" w:space="0" w:color="auto"/>
        <w:left w:val="none" w:sz="0" w:space="0" w:color="auto"/>
        <w:bottom w:val="none" w:sz="0" w:space="0" w:color="auto"/>
        <w:right w:val="none" w:sz="0" w:space="0" w:color="auto"/>
      </w:divBdr>
    </w:div>
    <w:div w:id="618417380">
      <w:bodyDiv w:val="1"/>
      <w:marLeft w:val="0"/>
      <w:marRight w:val="0"/>
      <w:marTop w:val="0"/>
      <w:marBottom w:val="0"/>
      <w:divBdr>
        <w:top w:val="none" w:sz="0" w:space="0" w:color="auto"/>
        <w:left w:val="none" w:sz="0" w:space="0" w:color="auto"/>
        <w:bottom w:val="none" w:sz="0" w:space="0" w:color="auto"/>
        <w:right w:val="none" w:sz="0" w:space="0" w:color="auto"/>
      </w:divBdr>
    </w:div>
    <w:div w:id="619606956">
      <w:bodyDiv w:val="1"/>
      <w:marLeft w:val="0"/>
      <w:marRight w:val="0"/>
      <w:marTop w:val="0"/>
      <w:marBottom w:val="0"/>
      <w:divBdr>
        <w:top w:val="none" w:sz="0" w:space="0" w:color="auto"/>
        <w:left w:val="none" w:sz="0" w:space="0" w:color="auto"/>
        <w:bottom w:val="none" w:sz="0" w:space="0" w:color="auto"/>
        <w:right w:val="none" w:sz="0" w:space="0" w:color="auto"/>
      </w:divBdr>
    </w:div>
    <w:div w:id="633606943">
      <w:bodyDiv w:val="1"/>
      <w:marLeft w:val="0"/>
      <w:marRight w:val="0"/>
      <w:marTop w:val="0"/>
      <w:marBottom w:val="0"/>
      <w:divBdr>
        <w:top w:val="none" w:sz="0" w:space="0" w:color="auto"/>
        <w:left w:val="none" w:sz="0" w:space="0" w:color="auto"/>
        <w:bottom w:val="none" w:sz="0" w:space="0" w:color="auto"/>
        <w:right w:val="none" w:sz="0" w:space="0" w:color="auto"/>
      </w:divBdr>
    </w:div>
    <w:div w:id="653801551">
      <w:bodyDiv w:val="1"/>
      <w:marLeft w:val="0"/>
      <w:marRight w:val="0"/>
      <w:marTop w:val="0"/>
      <w:marBottom w:val="0"/>
      <w:divBdr>
        <w:top w:val="none" w:sz="0" w:space="0" w:color="auto"/>
        <w:left w:val="none" w:sz="0" w:space="0" w:color="auto"/>
        <w:bottom w:val="none" w:sz="0" w:space="0" w:color="auto"/>
        <w:right w:val="none" w:sz="0" w:space="0" w:color="auto"/>
      </w:divBdr>
    </w:div>
    <w:div w:id="683675764">
      <w:bodyDiv w:val="1"/>
      <w:marLeft w:val="0"/>
      <w:marRight w:val="0"/>
      <w:marTop w:val="0"/>
      <w:marBottom w:val="0"/>
      <w:divBdr>
        <w:top w:val="none" w:sz="0" w:space="0" w:color="auto"/>
        <w:left w:val="none" w:sz="0" w:space="0" w:color="auto"/>
        <w:bottom w:val="none" w:sz="0" w:space="0" w:color="auto"/>
        <w:right w:val="none" w:sz="0" w:space="0" w:color="auto"/>
      </w:divBdr>
    </w:div>
    <w:div w:id="888491158">
      <w:bodyDiv w:val="1"/>
      <w:marLeft w:val="0"/>
      <w:marRight w:val="0"/>
      <w:marTop w:val="0"/>
      <w:marBottom w:val="0"/>
      <w:divBdr>
        <w:top w:val="none" w:sz="0" w:space="0" w:color="auto"/>
        <w:left w:val="none" w:sz="0" w:space="0" w:color="auto"/>
        <w:bottom w:val="none" w:sz="0" w:space="0" w:color="auto"/>
        <w:right w:val="none" w:sz="0" w:space="0" w:color="auto"/>
      </w:divBdr>
    </w:div>
    <w:div w:id="1026323808">
      <w:bodyDiv w:val="1"/>
      <w:marLeft w:val="0"/>
      <w:marRight w:val="0"/>
      <w:marTop w:val="0"/>
      <w:marBottom w:val="0"/>
      <w:divBdr>
        <w:top w:val="none" w:sz="0" w:space="0" w:color="auto"/>
        <w:left w:val="none" w:sz="0" w:space="0" w:color="auto"/>
        <w:bottom w:val="none" w:sz="0" w:space="0" w:color="auto"/>
        <w:right w:val="none" w:sz="0" w:space="0" w:color="auto"/>
      </w:divBdr>
    </w:div>
    <w:div w:id="1104883437">
      <w:bodyDiv w:val="1"/>
      <w:marLeft w:val="0"/>
      <w:marRight w:val="0"/>
      <w:marTop w:val="0"/>
      <w:marBottom w:val="0"/>
      <w:divBdr>
        <w:top w:val="none" w:sz="0" w:space="0" w:color="auto"/>
        <w:left w:val="none" w:sz="0" w:space="0" w:color="auto"/>
        <w:bottom w:val="none" w:sz="0" w:space="0" w:color="auto"/>
        <w:right w:val="none" w:sz="0" w:space="0" w:color="auto"/>
      </w:divBdr>
    </w:div>
    <w:div w:id="1122577589">
      <w:bodyDiv w:val="1"/>
      <w:marLeft w:val="0"/>
      <w:marRight w:val="0"/>
      <w:marTop w:val="0"/>
      <w:marBottom w:val="0"/>
      <w:divBdr>
        <w:top w:val="none" w:sz="0" w:space="0" w:color="auto"/>
        <w:left w:val="none" w:sz="0" w:space="0" w:color="auto"/>
        <w:bottom w:val="none" w:sz="0" w:space="0" w:color="auto"/>
        <w:right w:val="none" w:sz="0" w:space="0" w:color="auto"/>
      </w:divBdr>
    </w:div>
    <w:div w:id="1124427987">
      <w:bodyDiv w:val="1"/>
      <w:marLeft w:val="0"/>
      <w:marRight w:val="0"/>
      <w:marTop w:val="0"/>
      <w:marBottom w:val="0"/>
      <w:divBdr>
        <w:top w:val="none" w:sz="0" w:space="0" w:color="auto"/>
        <w:left w:val="none" w:sz="0" w:space="0" w:color="auto"/>
        <w:bottom w:val="none" w:sz="0" w:space="0" w:color="auto"/>
        <w:right w:val="none" w:sz="0" w:space="0" w:color="auto"/>
      </w:divBdr>
    </w:div>
    <w:div w:id="1187014109">
      <w:bodyDiv w:val="1"/>
      <w:marLeft w:val="0"/>
      <w:marRight w:val="0"/>
      <w:marTop w:val="0"/>
      <w:marBottom w:val="0"/>
      <w:divBdr>
        <w:top w:val="none" w:sz="0" w:space="0" w:color="auto"/>
        <w:left w:val="none" w:sz="0" w:space="0" w:color="auto"/>
        <w:bottom w:val="none" w:sz="0" w:space="0" w:color="auto"/>
        <w:right w:val="none" w:sz="0" w:space="0" w:color="auto"/>
      </w:divBdr>
    </w:div>
    <w:div w:id="1202127650">
      <w:bodyDiv w:val="1"/>
      <w:marLeft w:val="0"/>
      <w:marRight w:val="0"/>
      <w:marTop w:val="0"/>
      <w:marBottom w:val="0"/>
      <w:divBdr>
        <w:top w:val="none" w:sz="0" w:space="0" w:color="auto"/>
        <w:left w:val="none" w:sz="0" w:space="0" w:color="auto"/>
        <w:bottom w:val="none" w:sz="0" w:space="0" w:color="auto"/>
        <w:right w:val="none" w:sz="0" w:space="0" w:color="auto"/>
      </w:divBdr>
    </w:div>
    <w:div w:id="1209804954">
      <w:bodyDiv w:val="1"/>
      <w:marLeft w:val="0"/>
      <w:marRight w:val="0"/>
      <w:marTop w:val="0"/>
      <w:marBottom w:val="0"/>
      <w:divBdr>
        <w:top w:val="none" w:sz="0" w:space="0" w:color="auto"/>
        <w:left w:val="none" w:sz="0" w:space="0" w:color="auto"/>
        <w:bottom w:val="none" w:sz="0" w:space="0" w:color="auto"/>
        <w:right w:val="none" w:sz="0" w:space="0" w:color="auto"/>
      </w:divBdr>
    </w:div>
    <w:div w:id="1210530512">
      <w:bodyDiv w:val="1"/>
      <w:marLeft w:val="0"/>
      <w:marRight w:val="0"/>
      <w:marTop w:val="0"/>
      <w:marBottom w:val="0"/>
      <w:divBdr>
        <w:top w:val="none" w:sz="0" w:space="0" w:color="auto"/>
        <w:left w:val="none" w:sz="0" w:space="0" w:color="auto"/>
        <w:bottom w:val="none" w:sz="0" w:space="0" w:color="auto"/>
        <w:right w:val="none" w:sz="0" w:space="0" w:color="auto"/>
      </w:divBdr>
    </w:div>
    <w:div w:id="1220435390">
      <w:bodyDiv w:val="1"/>
      <w:marLeft w:val="0"/>
      <w:marRight w:val="0"/>
      <w:marTop w:val="0"/>
      <w:marBottom w:val="0"/>
      <w:divBdr>
        <w:top w:val="none" w:sz="0" w:space="0" w:color="auto"/>
        <w:left w:val="none" w:sz="0" w:space="0" w:color="auto"/>
        <w:bottom w:val="none" w:sz="0" w:space="0" w:color="auto"/>
        <w:right w:val="none" w:sz="0" w:space="0" w:color="auto"/>
      </w:divBdr>
    </w:div>
    <w:div w:id="1238906154">
      <w:bodyDiv w:val="1"/>
      <w:marLeft w:val="0"/>
      <w:marRight w:val="0"/>
      <w:marTop w:val="0"/>
      <w:marBottom w:val="0"/>
      <w:divBdr>
        <w:top w:val="none" w:sz="0" w:space="0" w:color="auto"/>
        <w:left w:val="none" w:sz="0" w:space="0" w:color="auto"/>
        <w:bottom w:val="none" w:sz="0" w:space="0" w:color="auto"/>
        <w:right w:val="none" w:sz="0" w:space="0" w:color="auto"/>
      </w:divBdr>
    </w:div>
    <w:div w:id="1308822981">
      <w:bodyDiv w:val="1"/>
      <w:marLeft w:val="0"/>
      <w:marRight w:val="0"/>
      <w:marTop w:val="0"/>
      <w:marBottom w:val="0"/>
      <w:divBdr>
        <w:top w:val="none" w:sz="0" w:space="0" w:color="auto"/>
        <w:left w:val="none" w:sz="0" w:space="0" w:color="auto"/>
        <w:bottom w:val="none" w:sz="0" w:space="0" w:color="auto"/>
        <w:right w:val="none" w:sz="0" w:space="0" w:color="auto"/>
      </w:divBdr>
    </w:div>
    <w:div w:id="1313801041">
      <w:bodyDiv w:val="1"/>
      <w:marLeft w:val="0"/>
      <w:marRight w:val="0"/>
      <w:marTop w:val="0"/>
      <w:marBottom w:val="0"/>
      <w:divBdr>
        <w:top w:val="none" w:sz="0" w:space="0" w:color="auto"/>
        <w:left w:val="none" w:sz="0" w:space="0" w:color="auto"/>
        <w:bottom w:val="none" w:sz="0" w:space="0" w:color="auto"/>
        <w:right w:val="none" w:sz="0" w:space="0" w:color="auto"/>
      </w:divBdr>
    </w:div>
    <w:div w:id="1320575963">
      <w:bodyDiv w:val="1"/>
      <w:marLeft w:val="0"/>
      <w:marRight w:val="0"/>
      <w:marTop w:val="0"/>
      <w:marBottom w:val="0"/>
      <w:divBdr>
        <w:top w:val="none" w:sz="0" w:space="0" w:color="auto"/>
        <w:left w:val="none" w:sz="0" w:space="0" w:color="auto"/>
        <w:bottom w:val="none" w:sz="0" w:space="0" w:color="auto"/>
        <w:right w:val="none" w:sz="0" w:space="0" w:color="auto"/>
      </w:divBdr>
    </w:div>
    <w:div w:id="1382242147">
      <w:bodyDiv w:val="1"/>
      <w:marLeft w:val="0"/>
      <w:marRight w:val="0"/>
      <w:marTop w:val="0"/>
      <w:marBottom w:val="0"/>
      <w:divBdr>
        <w:top w:val="none" w:sz="0" w:space="0" w:color="auto"/>
        <w:left w:val="none" w:sz="0" w:space="0" w:color="auto"/>
        <w:bottom w:val="none" w:sz="0" w:space="0" w:color="auto"/>
        <w:right w:val="none" w:sz="0" w:space="0" w:color="auto"/>
      </w:divBdr>
    </w:div>
    <w:div w:id="1390611470">
      <w:bodyDiv w:val="1"/>
      <w:marLeft w:val="0"/>
      <w:marRight w:val="0"/>
      <w:marTop w:val="0"/>
      <w:marBottom w:val="0"/>
      <w:divBdr>
        <w:top w:val="none" w:sz="0" w:space="0" w:color="auto"/>
        <w:left w:val="none" w:sz="0" w:space="0" w:color="auto"/>
        <w:bottom w:val="none" w:sz="0" w:space="0" w:color="auto"/>
        <w:right w:val="none" w:sz="0" w:space="0" w:color="auto"/>
      </w:divBdr>
    </w:div>
    <w:div w:id="1523936032">
      <w:bodyDiv w:val="1"/>
      <w:marLeft w:val="0"/>
      <w:marRight w:val="0"/>
      <w:marTop w:val="0"/>
      <w:marBottom w:val="0"/>
      <w:divBdr>
        <w:top w:val="none" w:sz="0" w:space="0" w:color="auto"/>
        <w:left w:val="none" w:sz="0" w:space="0" w:color="auto"/>
        <w:bottom w:val="none" w:sz="0" w:space="0" w:color="auto"/>
        <w:right w:val="none" w:sz="0" w:space="0" w:color="auto"/>
      </w:divBdr>
    </w:div>
    <w:div w:id="1555115255">
      <w:bodyDiv w:val="1"/>
      <w:marLeft w:val="0"/>
      <w:marRight w:val="0"/>
      <w:marTop w:val="0"/>
      <w:marBottom w:val="0"/>
      <w:divBdr>
        <w:top w:val="none" w:sz="0" w:space="0" w:color="auto"/>
        <w:left w:val="none" w:sz="0" w:space="0" w:color="auto"/>
        <w:bottom w:val="none" w:sz="0" w:space="0" w:color="auto"/>
        <w:right w:val="none" w:sz="0" w:space="0" w:color="auto"/>
      </w:divBdr>
    </w:div>
    <w:div w:id="1572421495">
      <w:bodyDiv w:val="1"/>
      <w:marLeft w:val="0"/>
      <w:marRight w:val="0"/>
      <w:marTop w:val="0"/>
      <w:marBottom w:val="0"/>
      <w:divBdr>
        <w:top w:val="none" w:sz="0" w:space="0" w:color="auto"/>
        <w:left w:val="none" w:sz="0" w:space="0" w:color="auto"/>
        <w:bottom w:val="none" w:sz="0" w:space="0" w:color="auto"/>
        <w:right w:val="none" w:sz="0" w:space="0" w:color="auto"/>
      </w:divBdr>
    </w:div>
    <w:div w:id="1577320605">
      <w:bodyDiv w:val="1"/>
      <w:marLeft w:val="0"/>
      <w:marRight w:val="0"/>
      <w:marTop w:val="0"/>
      <w:marBottom w:val="0"/>
      <w:divBdr>
        <w:top w:val="none" w:sz="0" w:space="0" w:color="auto"/>
        <w:left w:val="none" w:sz="0" w:space="0" w:color="auto"/>
        <w:bottom w:val="none" w:sz="0" w:space="0" w:color="auto"/>
        <w:right w:val="none" w:sz="0" w:space="0" w:color="auto"/>
      </w:divBdr>
    </w:div>
    <w:div w:id="1610695256">
      <w:bodyDiv w:val="1"/>
      <w:marLeft w:val="0"/>
      <w:marRight w:val="0"/>
      <w:marTop w:val="0"/>
      <w:marBottom w:val="0"/>
      <w:divBdr>
        <w:top w:val="none" w:sz="0" w:space="0" w:color="auto"/>
        <w:left w:val="none" w:sz="0" w:space="0" w:color="auto"/>
        <w:bottom w:val="none" w:sz="0" w:space="0" w:color="auto"/>
        <w:right w:val="none" w:sz="0" w:space="0" w:color="auto"/>
      </w:divBdr>
    </w:div>
    <w:div w:id="1681859077">
      <w:bodyDiv w:val="1"/>
      <w:marLeft w:val="0"/>
      <w:marRight w:val="0"/>
      <w:marTop w:val="0"/>
      <w:marBottom w:val="0"/>
      <w:divBdr>
        <w:top w:val="none" w:sz="0" w:space="0" w:color="auto"/>
        <w:left w:val="none" w:sz="0" w:space="0" w:color="auto"/>
        <w:bottom w:val="none" w:sz="0" w:space="0" w:color="auto"/>
        <w:right w:val="none" w:sz="0" w:space="0" w:color="auto"/>
      </w:divBdr>
    </w:div>
    <w:div w:id="1709718395">
      <w:bodyDiv w:val="1"/>
      <w:marLeft w:val="0"/>
      <w:marRight w:val="0"/>
      <w:marTop w:val="0"/>
      <w:marBottom w:val="0"/>
      <w:divBdr>
        <w:top w:val="none" w:sz="0" w:space="0" w:color="auto"/>
        <w:left w:val="none" w:sz="0" w:space="0" w:color="auto"/>
        <w:bottom w:val="none" w:sz="0" w:space="0" w:color="auto"/>
        <w:right w:val="none" w:sz="0" w:space="0" w:color="auto"/>
      </w:divBdr>
    </w:div>
    <w:div w:id="1790510039">
      <w:bodyDiv w:val="1"/>
      <w:marLeft w:val="0"/>
      <w:marRight w:val="0"/>
      <w:marTop w:val="0"/>
      <w:marBottom w:val="0"/>
      <w:divBdr>
        <w:top w:val="none" w:sz="0" w:space="0" w:color="auto"/>
        <w:left w:val="none" w:sz="0" w:space="0" w:color="auto"/>
        <w:bottom w:val="none" w:sz="0" w:space="0" w:color="auto"/>
        <w:right w:val="none" w:sz="0" w:space="0" w:color="auto"/>
      </w:divBdr>
    </w:div>
    <w:div w:id="1831604738">
      <w:bodyDiv w:val="1"/>
      <w:marLeft w:val="0"/>
      <w:marRight w:val="0"/>
      <w:marTop w:val="0"/>
      <w:marBottom w:val="0"/>
      <w:divBdr>
        <w:top w:val="none" w:sz="0" w:space="0" w:color="auto"/>
        <w:left w:val="none" w:sz="0" w:space="0" w:color="auto"/>
        <w:bottom w:val="none" w:sz="0" w:space="0" w:color="auto"/>
        <w:right w:val="none" w:sz="0" w:space="0" w:color="auto"/>
      </w:divBdr>
    </w:div>
    <w:div w:id="1837384228">
      <w:bodyDiv w:val="1"/>
      <w:marLeft w:val="0"/>
      <w:marRight w:val="0"/>
      <w:marTop w:val="0"/>
      <w:marBottom w:val="0"/>
      <w:divBdr>
        <w:top w:val="none" w:sz="0" w:space="0" w:color="auto"/>
        <w:left w:val="none" w:sz="0" w:space="0" w:color="auto"/>
        <w:bottom w:val="none" w:sz="0" w:space="0" w:color="auto"/>
        <w:right w:val="none" w:sz="0" w:space="0" w:color="auto"/>
      </w:divBdr>
    </w:div>
    <w:div w:id="1893733609">
      <w:bodyDiv w:val="1"/>
      <w:marLeft w:val="0"/>
      <w:marRight w:val="0"/>
      <w:marTop w:val="0"/>
      <w:marBottom w:val="0"/>
      <w:divBdr>
        <w:top w:val="none" w:sz="0" w:space="0" w:color="auto"/>
        <w:left w:val="none" w:sz="0" w:space="0" w:color="auto"/>
        <w:bottom w:val="none" w:sz="0" w:space="0" w:color="auto"/>
        <w:right w:val="none" w:sz="0" w:space="0" w:color="auto"/>
      </w:divBdr>
    </w:div>
    <w:div w:id="1917087851">
      <w:bodyDiv w:val="1"/>
      <w:marLeft w:val="0"/>
      <w:marRight w:val="0"/>
      <w:marTop w:val="0"/>
      <w:marBottom w:val="0"/>
      <w:divBdr>
        <w:top w:val="none" w:sz="0" w:space="0" w:color="auto"/>
        <w:left w:val="none" w:sz="0" w:space="0" w:color="auto"/>
        <w:bottom w:val="none" w:sz="0" w:space="0" w:color="auto"/>
        <w:right w:val="none" w:sz="0" w:space="0" w:color="auto"/>
      </w:divBdr>
    </w:div>
    <w:div w:id="2002928679">
      <w:bodyDiv w:val="1"/>
      <w:marLeft w:val="0"/>
      <w:marRight w:val="0"/>
      <w:marTop w:val="0"/>
      <w:marBottom w:val="0"/>
      <w:divBdr>
        <w:top w:val="none" w:sz="0" w:space="0" w:color="auto"/>
        <w:left w:val="none" w:sz="0" w:space="0" w:color="auto"/>
        <w:bottom w:val="none" w:sz="0" w:space="0" w:color="auto"/>
        <w:right w:val="none" w:sz="0" w:space="0" w:color="auto"/>
      </w:divBdr>
    </w:div>
    <w:div w:id="2135441693">
      <w:bodyDiv w:val="1"/>
      <w:marLeft w:val="0"/>
      <w:marRight w:val="0"/>
      <w:marTop w:val="0"/>
      <w:marBottom w:val="0"/>
      <w:divBdr>
        <w:top w:val="none" w:sz="0" w:space="0" w:color="auto"/>
        <w:left w:val="none" w:sz="0" w:space="0" w:color="auto"/>
        <w:bottom w:val="none" w:sz="0" w:space="0" w:color="auto"/>
        <w:right w:val="none" w:sz="0" w:space="0" w:color="auto"/>
      </w:divBdr>
    </w:div>
    <w:div w:id="21412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hristel.schurrer@coe.int" TargetMode="External"/><Relationship Id="rId18" Type="http://schemas.openxmlformats.org/officeDocument/2006/relationships/hyperlink" Target="https://hudoc.exec.coe.int/eng?i=DH-DD(2024)88E"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hudoc.exec.coe.int/eng?i=DH-DD(2024)1434E" TargetMode="External"/><Relationship Id="rId7" Type="http://schemas.openxmlformats.org/officeDocument/2006/relationships/endnotes" Target="endnotes.xml"/><Relationship Id="rId12" Type="http://schemas.openxmlformats.org/officeDocument/2006/relationships/hyperlink" Target="https://rm.coe.int/croatia-eu-scoreboard-country-fiches-2022-data/1680b065ee" TargetMode="External"/><Relationship Id="rId17" Type="http://schemas.openxmlformats.org/officeDocument/2006/relationships/hyperlink" Target="https://hudoc.exec.coe.int/FRE" TargetMode="External"/><Relationship Id="rId25" Type="http://schemas.openxmlformats.org/officeDocument/2006/relationships/hyperlink" Target="https://rm.coe.int/moneyval-2024-18-hr-5thround-2ndenhfur/1680b2bbbc" TargetMode="External"/><Relationship Id="rId2" Type="http://schemas.openxmlformats.org/officeDocument/2006/relationships/numbering" Target="numbering.xml"/><Relationship Id="rId16" Type="http://schemas.openxmlformats.org/officeDocument/2006/relationships/hyperlink" Target="http://hudoc.exec.coe.int/eng?i=004-56279" TargetMode="External"/><Relationship Id="rId20" Type="http://schemas.openxmlformats.org/officeDocument/2006/relationships/hyperlink" Target="https://hudoc.exec.coe.int/eng?i=004-6629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croatia/1680b1df5f" TargetMode="External"/><Relationship Id="rId24" Type="http://schemas.openxmlformats.org/officeDocument/2006/relationships/hyperlink" Target="https://rm.coe.int/moneyval-2023-16-hr-5thround-1stenhfur/1680ae8297" TargetMode="External"/><Relationship Id="rId5" Type="http://schemas.openxmlformats.org/officeDocument/2006/relationships/webSettings" Target="webSettings.xml"/><Relationship Id="rId15" Type="http://schemas.openxmlformats.org/officeDocument/2006/relationships/hyperlink" Target="mailto:DGI-Execution@coe.int" TargetMode="External"/><Relationship Id="rId23" Type="http://schemas.openxmlformats.org/officeDocument/2006/relationships/hyperlink" Target="https://rm.coe.int/grecorc5-2024-4-final-eng-2nd-compliance-report-croatia-public/1680b0808e" TargetMode="External"/><Relationship Id="rId28" Type="http://schemas.openxmlformats.org/officeDocument/2006/relationships/fontTable" Target="fontTable.xml"/><Relationship Id="rId10" Type="http://schemas.openxmlformats.org/officeDocument/2006/relationships/hyperlink" Target="http://www.coe.int/en/web/cepej/cepej-stat" TargetMode="External"/><Relationship Id="rId19" Type="http://schemas.openxmlformats.org/officeDocument/2006/relationships/hyperlink" Target="https://hudoc.exec.coe.int/eng?i=004-66295" TargetMode="External"/><Relationship Id="rId4" Type="http://schemas.openxmlformats.org/officeDocument/2006/relationships/settings" Target="settings.xml"/><Relationship Id="rId9" Type="http://schemas.openxmlformats.org/officeDocument/2006/relationships/hyperlink" Target="https://rm.coe.int/cepej-evaluation-report-part-1-en-/1680b272ac" TargetMode="External"/><Relationship Id="rId14" Type="http://schemas.openxmlformats.org/officeDocument/2006/relationships/hyperlink" Target="https://www.coe.int/en/web/execution/annual-reports" TargetMode="External"/><Relationship Id="rId22" Type="http://schemas.openxmlformats.org/officeDocument/2006/relationships/hyperlink" Target="https://hudoc.exec.coe.int/eng?i=DH-DD(2024)1434E"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commission.europa.eu/document/84aa3726-82d7-4401-98c1-fee04a7d2dd6_en" TargetMode="External"/><Relationship Id="rId2" Type="http://schemas.openxmlformats.org/officeDocument/2006/relationships/hyperlink" Target="https://www.coe.int/en/web/implementation/by-default-optimisation-of-efficiency-and-quality-of-judicial-services-and-transparency-of-judicial" TargetMode="External"/><Relationship Id="rId1" Type="http://schemas.openxmlformats.org/officeDocument/2006/relationships/hyperlink" Target="https://www.coe.int/en/web/implementation/croatia-paperless-commercial-cou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A2193-21D1-488E-8E72-FD0563183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1125</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6</cp:revision>
  <dcterms:created xsi:type="dcterms:W3CDTF">2025-01-20T14:31:00Z</dcterms:created>
  <dcterms:modified xsi:type="dcterms:W3CDTF">2025-02-03T07:45:00Z</dcterms:modified>
</cp:coreProperties>
</file>